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5B4" w:rsidRPr="00B365B4" w:rsidRDefault="00B365B4" w:rsidP="00B365B4">
      <w:pPr>
        <w:keepNext/>
        <w:spacing w:after="0" w:line="240" w:lineRule="auto"/>
        <w:outlineLvl w:val="2"/>
        <w:rPr>
          <w:rFonts w:ascii="Avenir" w:eastAsia="Times New Roman" w:hAnsi="Avenir"/>
          <w:b/>
          <w:sz w:val="24"/>
          <w:szCs w:val="24"/>
        </w:rPr>
      </w:pPr>
      <w:r w:rsidRPr="00B365B4">
        <w:rPr>
          <w:rFonts w:ascii="Avenir" w:eastAsia="Times New Roman" w:hAnsi="Avenir"/>
          <w:b/>
          <w:sz w:val="24"/>
          <w:szCs w:val="24"/>
        </w:rPr>
        <w:t>Purpose</w:t>
      </w:r>
    </w:p>
    <w:p w:rsidR="00B365B4" w:rsidRPr="00B365B4" w:rsidRDefault="00B365B4" w:rsidP="00B365B4">
      <w:pPr>
        <w:spacing w:after="0" w:line="240" w:lineRule="auto"/>
        <w:rPr>
          <w:rFonts w:ascii="Georgia" w:eastAsia="Times New Roman" w:hAnsi="Georgia"/>
          <w:szCs w:val="24"/>
        </w:rPr>
      </w:pPr>
    </w:p>
    <w:p w:rsidR="00B365B4" w:rsidRDefault="00131166" w:rsidP="00B365B4">
      <w:pPr>
        <w:spacing w:after="0" w:line="240" w:lineRule="auto"/>
        <w:rPr>
          <w:rFonts w:ascii="Georgia" w:eastAsia="Times New Roman" w:hAnsi="Georgia"/>
          <w:szCs w:val="24"/>
        </w:rPr>
      </w:pPr>
      <w:r w:rsidRPr="00131166">
        <w:rPr>
          <w:rFonts w:ascii="Georgia" w:eastAsia="Times New Roman" w:hAnsi="Georgia"/>
          <w:szCs w:val="24"/>
        </w:rPr>
        <w:t xml:space="preserve">To set guidelines for clinicians viewing and sharing a patient’s social security number when using a </w:t>
      </w:r>
      <w:proofErr w:type="spellStart"/>
      <w:r w:rsidRPr="00131166">
        <w:rPr>
          <w:rFonts w:ascii="Georgia" w:eastAsia="Times New Roman" w:hAnsi="Georgia"/>
          <w:szCs w:val="24"/>
        </w:rPr>
        <w:t>PointCare</w:t>
      </w:r>
      <w:proofErr w:type="spellEnd"/>
      <w:r w:rsidRPr="00131166">
        <w:rPr>
          <w:rFonts w:ascii="Georgia" w:eastAsia="Times New Roman" w:hAnsi="Georgia"/>
          <w:szCs w:val="24"/>
        </w:rPr>
        <w:t xml:space="preserve"> device</w:t>
      </w:r>
      <w:r>
        <w:rPr>
          <w:rFonts w:ascii="Georgia" w:eastAsia="Times New Roman" w:hAnsi="Georgia"/>
          <w:szCs w:val="24"/>
        </w:rPr>
        <w:t>.</w:t>
      </w:r>
    </w:p>
    <w:p w:rsidR="00131166" w:rsidRPr="00B365B4" w:rsidRDefault="00131166" w:rsidP="00B365B4">
      <w:pPr>
        <w:spacing w:after="0" w:line="240" w:lineRule="auto"/>
        <w:rPr>
          <w:rFonts w:ascii="Georgia" w:eastAsia="Times New Roman" w:hAnsi="Georgia"/>
          <w:szCs w:val="24"/>
        </w:rPr>
      </w:pPr>
    </w:p>
    <w:p w:rsidR="00B365B4" w:rsidRPr="00B365B4" w:rsidRDefault="00B365B4" w:rsidP="00B365B4">
      <w:pPr>
        <w:keepNext/>
        <w:spacing w:after="0" w:line="240" w:lineRule="auto"/>
        <w:outlineLvl w:val="2"/>
        <w:rPr>
          <w:rFonts w:ascii="Avenir" w:eastAsia="Times New Roman" w:hAnsi="Avenir"/>
          <w:b/>
          <w:sz w:val="24"/>
          <w:szCs w:val="24"/>
        </w:rPr>
      </w:pPr>
      <w:r w:rsidRPr="00B365B4">
        <w:rPr>
          <w:rFonts w:ascii="Avenir" w:eastAsia="Times New Roman" w:hAnsi="Avenir"/>
          <w:b/>
          <w:sz w:val="24"/>
          <w:szCs w:val="24"/>
        </w:rPr>
        <w:t>Policy</w:t>
      </w:r>
    </w:p>
    <w:p w:rsidR="00B365B4" w:rsidRPr="00B365B4" w:rsidRDefault="00B365B4" w:rsidP="00B365B4">
      <w:pPr>
        <w:spacing w:after="0" w:line="240" w:lineRule="auto"/>
        <w:rPr>
          <w:rFonts w:ascii="Georgia" w:eastAsia="Times New Roman" w:hAnsi="Georgia"/>
          <w:szCs w:val="24"/>
        </w:rPr>
      </w:pPr>
    </w:p>
    <w:p w:rsidR="00131166" w:rsidRPr="00131166" w:rsidRDefault="00131166" w:rsidP="00131166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Georgia" w:eastAsia="Times New Roman" w:hAnsi="Georgia"/>
          <w:szCs w:val="24"/>
        </w:rPr>
      </w:pPr>
      <w:r w:rsidRPr="00131166">
        <w:rPr>
          <w:rFonts w:ascii="Georgia" w:eastAsia="Times New Roman" w:hAnsi="Georgia"/>
          <w:szCs w:val="24"/>
        </w:rPr>
        <w:t xml:space="preserve">Ohio Living Home Health </w:t>
      </w:r>
      <w:r>
        <w:rPr>
          <w:rFonts w:ascii="Georgia" w:eastAsia="Times New Roman" w:hAnsi="Georgia"/>
          <w:szCs w:val="24"/>
        </w:rPr>
        <w:t>&amp;</w:t>
      </w:r>
      <w:r w:rsidRPr="00131166">
        <w:rPr>
          <w:rFonts w:ascii="Georgia" w:eastAsia="Times New Roman" w:hAnsi="Georgia"/>
          <w:szCs w:val="24"/>
        </w:rPr>
        <w:t xml:space="preserve"> Hospice will respect and safeguard all protected health information of the patients it serves.</w:t>
      </w:r>
    </w:p>
    <w:p w:rsidR="00B365B4" w:rsidRPr="00131166" w:rsidRDefault="00131166" w:rsidP="00131166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ascii="Georgia" w:eastAsia="Times New Roman" w:hAnsi="Georgia"/>
          <w:szCs w:val="24"/>
        </w:rPr>
      </w:pPr>
      <w:r w:rsidRPr="00131166">
        <w:rPr>
          <w:rFonts w:ascii="Georgia" w:eastAsia="Times New Roman" w:hAnsi="Georgia"/>
          <w:szCs w:val="24"/>
        </w:rPr>
        <w:t>Only employees with a need to know a patient’s social security number are permitted to view and share a patient’s social security number.</w:t>
      </w:r>
    </w:p>
    <w:p w:rsidR="00B365B4" w:rsidRPr="00131166" w:rsidRDefault="00B365B4" w:rsidP="00131166">
      <w:pPr>
        <w:keepNext/>
        <w:spacing w:after="0" w:line="240" w:lineRule="auto"/>
        <w:outlineLvl w:val="2"/>
        <w:rPr>
          <w:rFonts w:ascii="Avenir" w:eastAsia="Times New Roman" w:hAnsi="Avenir"/>
          <w:sz w:val="24"/>
          <w:szCs w:val="24"/>
        </w:rPr>
      </w:pPr>
    </w:p>
    <w:p w:rsidR="00131166" w:rsidRPr="00B365B4" w:rsidRDefault="00131166" w:rsidP="00131166">
      <w:pPr>
        <w:keepNext/>
        <w:spacing w:after="0" w:line="240" w:lineRule="auto"/>
        <w:outlineLvl w:val="2"/>
        <w:rPr>
          <w:rFonts w:ascii="Avenir" w:eastAsia="Times New Roman" w:hAnsi="Avenir"/>
          <w:b/>
          <w:sz w:val="24"/>
          <w:szCs w:val="24"/>
        </w:rPr>
      </w:pPr>
      <w:r w:rsidRPr="00B365B4">
        <w:rPr>
          <w:rFonts w:ascii="Avenir" w:eastAsia="Times New Roman" w:hAnsi="Avenir"/>
          <w:b/>
          <w:sz w:val="24"/>
          <w:szCs w:val="24"/>
        </w:rPr>
        <w:t>P</w:t>
      </w:r>
      <w:r>
        <w:rPr>
          <w:rFonts w:ascii="Avenir" w:eastAsia="Times New Roman" w:hAnsi="Avenir"/>
          <w:b/>
          <w:sz w:val="24"/>
          <w:szCs w:val="24"/>
        </w:rPr>
        <w:t>rocedure</w:t>
      </w:r>
    </w:p>
    <w:p w:rsidR="00B365B4" w:rsidRPr="00B365B4" w:rsidRDefault="00B365B4" w:rsidP="00B365B4">
      <w:pPr>
        <w:spacing w:after="0" w:line="240" w:lineRule="auto"/>
        <w:rPr>
          <w:rFonts w:ascii="Georgia" w:eastAsia="Times New Roman" w:hAnsi="Georgia"/>
          <w:szCs w:val="24"/>
        </w:rPr>
      </w:pPr>
    </w:p>
    <w:p w:rsidR="00B365B4" w:rsidRPr="00B365B4" w:rsidRDefault="00131166" w:rsidP="00B365B4">
      <w:pPr>
        <w:numPr>
          <w:ilvl w:val="0"/>
          <w:numId w:val="5"/>
        </w:numPr>
        <w:spacing w:after="0" w:line="240" w:lineRule="auto"/>
        <w:ind w:left="432" w:hanging="432"/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>At times, it is necessary to provide a patient’s social security number to another care professional out of Ohio Living. Examples include:</w:t>
      </w:r>
    </w:p>
    <w:p w:rsidR="00B365B4" w:rsidRPr="00B365B4" w:rsidRDefault="00131166" w:rsidP="00B365B4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>At patient’s time of death – providing to Funeral Home</w:t>
      </w:r>
    </w:p>
    <w:p w:rsidR="00B365B4" w:rsidRPr="00B365B4" w:rsidRDefault="00131166" w:rsidP="00B365B4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>When submitting a laboratory request and patient sample for testing</w:t>
      </w:r>
    </w:p>
    <w:p w:rsidR="00B365B4" w:rsidRPr="00B365B4" w:rsidRDefault="00131166" w:rsidP="00B365B4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>When completing a PASRR for nursing home placement</w:t>
      </w:r>
    </w:p>
    <w:p w:rsidR="00B365B4" w:rsidRPr="00B365B4" w:rsidRDefault="00131166" w:rsidP="00B365B4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/>
          <w:szCs w:val="20"/>
        </w:rPr>
      </w:pPr>
      <w:r>
        <w:rPr>
          <w:rFonts w:ascii="Georgia" w:eastAsia="Times New Roman" w:hAnsi="Georgia"/>
          <w:szCs w:val="20"/>
        </w:rPr>
        <w:t>When setting up transportation for a patient</w:t>
      </w:r>
    </w:p>
    <w:p w:rsidR="00B365B4" w:rsidRDefault="00131166" w:rsidP="00B365B4">
      <w:pPr>
        <w:numPr>
          <w:ilvl w:val="0"/>
          <w:numId w:val="5"/>
        </w:numPr>
        <w:spacing w:after="0" w:line="240" w:lineRule="auto"/>
        <w:ind w:left="432" w:hanging="432"/>
        <w:rPr>
          <w:rFonts w:ascii="Georgia" w:eastAsia="Times New Roman" w:hAnsi="Georgia" w:cs="Arial"/>
          <w:szCs w:val="20"/>
        </w:rPr>
      </w:pPr>
      <w:r>
        <w:rPr>
          <w:rFonts w:ascii="Georgia" w:eastAsia="Times New Roman" w:hAnsi="Georgia" w:cs="Arial"/>
          <w:szCs w:val="20"/>
        </w:rPr>
        <w:t xml:space="preserve">Those clinicians viewing and sharing patient social security numbers from a </w:t>
      </w:r>
      <w:proofErr w:type="spellStart"/>
      <w:r>
        <w:rPr>
          <w:rFonts w:ascii="Georgia" w:eastAsia="Times New Roman" w:hAnsi="Georgia" w:cs="Arial"/>
          <w:szCs w:val="20"/>
        </w:rPr>
        <w:t>PointCare</w:t>
      </w:r>
      <w:proofErr w:type="spellEnd"/>
      <w:r>
        <w:rPr>
          <w:rFonts w:ascii="Georgia" w:eastAsia="Times New Roman" w:hAnsi="Georgia" w:cs="Arial"/>
          <w:szCs w:val="20"/>
        </w:rPr>
        <w:t xml:space="preserve"> device will be limited to the following:</w:t>
      </w:r>
    </w:p>
    <w:p w:rsidR="00131166" w:rsidRDefault="00131166" w:rsidP="00131166">
      <w:pPr>
        <w:numPr>
          <w:ilvl w:val="1"/>
          <w:numId w:val="5"/>
        </w:numPr>
        <w:tabs>
          <w:tab w:val="clear" w:pos="1515"/>
        </w:tabs>
        <w:spacing w:after="0" w:line="240" w:lineRule="auto"/>
        <w:ind w:left="900"/>
        <w:rPr>
          <w:rFonts w:ascii="Georgia" w:eastAsia="Times New Roman" w:hAnsi="Georgia" w:cs="Arial"/>
          <w:szCs w:val="20"/>
        </w:rPr>
      </w:pPr>
      <w:r>
        <w:rPr>
          <w:rFonts w:ascii="Georgia" w:eastAsia="Times New Roman" w:hAnsi="Georgia" w:cs="Arial"/>
          <w:szCs w:val="20"/>
        </w:rPr>
        <w:t>Registered or Licensed Nurse</w:t>
      </w:r>
    </w:p>
    <w:p w:rsidR="00131166" w:rsidRDefault="00131166" w:rsidP="00131166">
      <w:pPr>
        <w:numPr>
          <w:ilvl w:val="1"/>
          <w:numId w:val="5"/>
        </w:numPr>
        <w:tabs>
          <w:tab w:val="clear" w:pos="1515"/>
        </w:tabs>
        <w:spacing w:after="0" w:line="240" w:lineRule="auto"/>
        <w:ind w:left="900"/>
        <w:rPr>
          <w:rFonts w:ascii="Georgia" w:eastAsia="Times New Roman" w:hAnsi="Georgia" w:cs="Arial"/>
          <w:szCs w:val="20"/>
        </w:rPr>
      </w:pPr>
      <w:r>
        <w:rPr>
          <w:rFonts w:ascii="Georgia" w:eastAsia="Times New Roman" w:hAnsi="Georgia" w:cs="Arial"/>
          <w:szCs w:val="20"/>
        </w:rPr>
        <w:t>Social Worker</w:t>
      </w:r>
    </w:p>
    <w:p w:rsidR="00131166" w:rsidRPr="00B365B4" w:rsidRDefault="00131166" w:rsidP="00131166">
      <w:pPr>
        <w:numPr>
          <w:ilvl w:val="1"/>
          <w:numId w:val="5"/>
        </w:numPr>
        <w:tabs>
          <w:tab w:val="clear" w:pos="1515"/>
        </w:tabs>
        <w:spacing w:after="0" w:line="240" w:lineRule="auto"/>
        <w:ind w:left="900"/>
        <w:rPr>
          <w:rFonts w:ascii="Georgia" w:eastAsia="Times New Roman" w:hAnsi="Georgia" w:cs="Arial"/>
          <w:szCs w:val="20"/>
        </w:rPr>
      </w:pPr>
      <w:r>
        <w:rPr>
          <w:rFonts w:ascii="Georgia" w:eastAsia="Times New Roman" w:hAnsi="Georgia" w:cs="Arial"/>
          <w:szCs w:val="20"/>
        </w:rPr>
        <w:t>Therapist</w:t>
      </w:r>
    </w:p>
    <w:p w:rsidR="00B365B4" w:rsidRPr="00B365B4" w:rsidRDefault="00131166" w:rsidP="00B365B4">
      <w:pPr>
        <w:numPr>
          <w:ilvl w:val="0"/>
          <w:numId w:val="5"/>
        </w:numPr>
        <w:spacing w:after="0" w:line="240" w:lineRule="auto"/>
        <w:ind w:left="432" w:hanging="432"/>
        <w:rPr>
          <w:rFonts w:ascii="Georgia" w:eastAsia="Times New Roman" w:hAnsi="Georgia" w:cs="Arial"/>
          <w:szCs w:val="20"/>
        </w:rPr>
      </w:pPr>
      <w:r>
        <w:rPr>
          <w:rFonts w:ascii="Georgia" w:eastAsia="Times New Roman" w:hAnsi="Georgia" w:cs="Arial"/>
          <w:szCs w:val="20"/>
        </w:rPr>
        <w:t xml:space="preserve">Anyone having knowledge of an employee inappropriately viewing and/or sharing a patient’s social security number is required to report this to a member of their leadership team timely. </w:t>
      </w:r>
    </w:p>
    <w:p w:rsidR="00B365B4" w:rsidRPr="00B365B4" w:rsidRDefault="00B365B4" w:rsidP="00B365B4">
      <w:pPr>
        <w:spacing w:after="0" w:line="240" w:lineRule="auto"/>
        <w:rPr>
          <w:rFonts w:ascii="Georgia" w:eastAsia="Times New Roman" w:hAnsi="Georgia" w:cs="Arial"/>
          <w:szCs w:val="20"/>
        </w:rPr>
      </w:pPr>
    </w:p>
    <w:p w:rsidR="00AD7037" w:rsidRDefault="00AD7037" w:rsidP="00AD7037">
      <w:pPr>
        <w:spacing w:after="0" w:line="240" w:lineRule="auto"/>
        <w:rPr>
          <w:rFonts w:ascii="Georgia" w:eastAsia="Times New Roman" w:hAnsi="Georgia"/>
          <w:szCs w:val="20"/>
        </w:rPr>
      </w:pPr>
      <w:bookmarkStart w:id="0" w:name="_GoBack"/>
      <w:bookmarkEnd w:id="0"/>
    </w:p>
    <w:sectPr w:rsidR="00AD7037" w:rsidSect="007209CC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EAB" w:rsidRDefault="00B34EAB" w:rsidP="00004886">
      <w:pPr>
        <w:spacing w:after="0" w:line="240" w:lineRule="auto"/>
      </w:pPr>
      <w:r>
        <w:separator/>
      </w:r>
    </w:p>
  </w:endnote>
  <w:endnote w:type="continuationSeparator" w:id="0">
    <w:p w:rsidR="00B34EAB" w:rsidRDefault="00B34EAB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1235977473"/>
      <w:docPartObj>
        <w:docPartGallery w:val="Page Numbers (Top of Page)"/>
        <w:docPartUnique/>
      </w:docPartObj>
    </w:sdtPr>
    <w:sdtEndPr/>
    <w:sdtContent>
      <w:p w:rsidR="007209CC" w:rsidRPr="007209CC" w:rsidRDefault="007209CC" w:rsidP="007209CC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2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3A605C" w:rsidRPr="007209CC" w:rsidRDefault="003A605C" w:rsidP="007209C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A4F8A">
              <w:rPr>
                <w:rFonts w:ascii="Avenir" w:hAnsi="Avenir"/>
                <w:b/>
                <w:noProof/>
              </w:rPr>
              <w:t>1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A4F8A">
              <w:rPr>
                <w:rFonts w:ascii="Avenir" w:hAnsi="Avenir"/>
                <w:b/>
                <w:noProof/>
              </w:rPr>
              <w:t>1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EAB" w:rsidRDefault="00B34EAB" w:rsidP="00004886">
      <w:pPr>
        <w:spacing w:after="0" w:line="240" w:lineRule="auto"/>
      </w:pPr>
      <w:r>
        <w:separator/>
      </w:r>
    </w:p>
  </w:footnote>
  <w:footnote w:type="continuationSeparator" w:id="0">
    <w:p w:rsidR="00B34EAB" w:rsidRDefault="00B34EAB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05C" w:rsidRDefault="00E071F9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2705100</wp:posOffset>
              </wp:positionH>
              <wp:positionV relativeFrom="paragraph">
                <wp:posOffset>87630</wp:posOffset>
              </wp:positionV>
              <wp:extent cx="358394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05C" w:rsidRPr="0091763A" w:rsidRDefault="00FD6071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 and Hospice Core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3pt;margin-top:6.9pt;width:282.2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" stroked="f">
              <v:textbox style="mso-fit-shape-to-text:t">
                <w:txbxContent>
                  <w:p w:rsidR="003A605C" w:rsidRPr="0091763A" w:rsidRDefault="00FD6071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 and Hospice Core Policy</w:t>
                    </w:r>
                  </w:p>
                </w:txbxContent>
              </v:textbox>
            </v:shape>
          </w:pict>
        </mc:Fallback>
      </mc:AlternateContent>
    </w:r>
    <w:r w:rsidR="00857EA6">
      <w:rPr>
        <w:noProof/>
      </w:rPr>
      <w:drawing>
        <wp:inline distT="0" distB="0" distL="0" distR="0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3"/>
      <w:gridCol w:w="3119"/>
      <w:gridCol w:w="3118"/>
    </w:tblGrid>
    <w:tr w:rsidR="007209CC" w:rsidRPr="00004886" w:rsidTr="007209CC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:rsidR="007209CC" w:rsidRPr="0091763A" w:rsidRDefault="007209CC" w:rsidP="007209C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7209CC" w:rsidRPr="00004886" w:rsidTr="007209CC">
      <w:trPr>
        <w:trHeight w:val="432"/>
      </w:trPr>
      <w:tc>
        <w:tcPr>
          <w:tcW w:w="9350" w:type="dxa"/>
          <w:gridSpan w:val="3"/>
          <w:vAlign w:val="center"/>
        </w:tcPr>
        <w:p w:rsidR="007209CC" w:rsidRPr="00383057" w:rsidRDefault="002E12BE" w:rsidP="007209C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 xml:space="preserve">Viewing and Sharing a Patient’s Social Security Number in </w:t>
          </w:r>
          <w:proofErr w:type="spellStart"/>
          <w:r>
            <w:rPr>
              <w:rFonts w:ascii="Georgia" w:eastAsiaTheme="minorHAnsi" w:hAnsi="Georgia" w:cstheme="minorBidi"/>
            </w:rPr>
            <w:t>PointCare</w:t>
          </w:r>
          <w:proofErr w:type="spellEnd"/>
        </w:p>
      </w:tc>
    </w:tr>
    <w:tr w:rsidR="00017F74" w:rsidRPr="00004886" w:rsidTr="007209CC">
      <w:tc>
        <w:tcPr>
          <w:tcW w:w="3113" w:type="dxa"/>
          <w:shd w:val="clear" w:color="auto" w:fill="D9D9D9" w:themeFill="background1" w:themeFillShade="D9"/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9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8" w:type="dxa"/>
          <w:shd w:val="clear" w:color="auto" w:fill="D9D9D9" w:themeFill="background1" w:themeFillShade="D9"/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:rsidTr="007209CC">
      <w:tc>
        <w:tcPr>
          <w:tcW w:w="3113" w:type="dxa"/>
        </w:tcPr>
        <w:p w:rsidR="00017F74" w:rsidRPr="00383057" w:rsidRDefault="0008266D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07/26/2023</w:t>
          </w:r>
        </w:p>
      </w:tc>
      <w:tc>
        <w:tcPr>
          <w:tcW w:w="3119" w:type="dxa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  <w:tc>
        <w:tcPr>
          <w:tcW w:w="3118" w:type="dxa"/>
        </w:tcPr>
        <w:p w:rsidR="00017F74" w:rsidRPr="00383057" w:rsidRDefault="007209CC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</w:t>
          </w:r>
          <w:r w:rsidR="0008266D">
            <w:rPr>
              <w:rFonts w:ascii="Georgia" w:eastAsiaTheme="minorHAnsi" w:hAnsi="Georgia" w:cstheme="minorBidi"/>
            </w:rPr>
            <w:t>26</w:t>
          </w:r>
          <w:r>
            <w:rPr>
              <w:rFonts w:ascii="Georgia" w:eastAsiaTheme="minorHAnsi" w:hAnsi="Georgia" w:cstheme="minorBidi"/>
            </w:rPr>
            <w:t>/2025</w:t>
          </w:r>
        </w:p>
      </w:tc>
    </w:tr>
    <w:tr w:rsidR="007209CC" w:rsidRPr="00004886" w:rsidTr="007209CC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:rsidR="007209CC" w:rsidRPr="0091763A" w:rsidRDefault="007209CC" w:rsidP="007209C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7209CC" w:rsidRPr="00004886" w:rsidTr="007209CC">
      <w:trPr>
        <w:trHeight w:val="576"/>
      </w:trPr>
      <w:tc>
        <w:tcPr>
          <w:tcW w:w="9350" w:type="dxa"/>
          <w:gridSpan w:val="3"/>
          <w:vAlign w:val="center"/>
        </w:tcPr>
        <w:p w:rsidR="007209CC" w:rsidRPr="00383057" w:rsidRDefault="007209CC" w:rsidP="007209C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017F74" w:rsidRPr="00004886" w:rsidTr="007209CC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:rsidTr="007209CC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296BA1"/>
    <w:multiLevelType w:val="hybridMultilevel"/>
    <w:tmpl w:val="EFEE47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BA2749E"/>
    <w:multiLevelType w:val="hybridMultilevel"/>
    <w:tmpl w:val="19E61074"/>
    <w:lvl w:ilvl="0" w:tplc="C61C9CFC">
      <w:numFmt w:val="bullet"/>
      <w:lvlText w:val="•"/>
      <w:lvlJc w:val="left"/>
      <w:pPr>
        <w:ind w:left="1080" w:hanging="72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40C6A"/>
    <w:multiLevelType w:val="hybridMultilevel"/>
    <w:tmpl w:val="E45C23D2"/>
    <w:lvl w:ilvl="0" w:tplc="56402EEE">
      <w:start w:val="1"/>
      <w:numFmt w:val="decimal"/>
      <w:lvlText w:val="%1."/>
      <w:lvlJc w:val="left"/>
      <w:pPr>
        <w:ind w:left="720" w:hanging="360"/>
      </w:pPr>
      <w:rPr>
        <w:rFonts w:ascii="Georgia" w:eastAsia="Georgia" w:hAnsi="Georgia" w:hint="default"/>
        <w:spacing w:val="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D07C1C"/>
    <w:multiLevelType w:val="hybridMultilevel"/>
    <w:tmpl w:val="5F9AF544"/>
    <w:lvl w:ilvl="0" w:tplc="F00A6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b w:val="0"/>
        <w:i w:val="0"/>
        <w:sz w:val="22"/>
      </w:rPr>
    </w:lvl>
    <w:lvl w:ilvl="1" w:tplc="D7F8CE3A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0B21D1"/>
    <w:multiLevelType w:val="hybridMultilevel"/>
    <w:tmpl w:val="95486F86"/>
    <w:lvl w:ilvl="0" w:tplc="ECBCA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58F0"/>
    <w:rsid w:val="00017F74"/>
    <w:rsid w:val="00070BDF"/>
    <w:rsid w:val="0008266D"/>
    <w:rsid w:val="000E0733"/>
    <w:rsid w:val="00126981"/>
    <w:rsid w:val="00131166"/>
    <w:rsid w:val="002174C0"/>
    <w:rsid w:val="00225592"/>
    <w:rsid w:val="002E12BE"/>
    <w:rsid w:val="00366B62"/>
    <w:rsid w:val="00383057"/>
    <w:rsid w:val="003A605C"/>
    <w:rsid w:val="003B77F3"/>
    <w:rsid w:val="004039FB"/>
    <w:rsid w:val="0046226B"/>
    <w:rsid w:val="00496194"/>
    <w:rsid w:val="004B00A2"/>
    <w:rsid w:val="004F7E1E"/>
    <w:rsid w:val="006318B2"/>
    <w:rsid w:val="00636251"/>
    <w:rsid w:val="0064513A"/>
    <w:rsid w:val="006772EC"/>
    <w:rsid w:val="007209CC"/>
    <w:rsid w:val="00721119"/>
    <w:rsid w:val="00744C01"/>
    <w:rsid w:val="007D240F"/>
    <w:rsid w:val="00806F6F"/>
    <w:rsid w:val="00857EA6"/>
    <w:rsid w:val="00882F4B"/>
    <w:rsid w:val="008F49D4"/>
    <w:rsid w:val="00914055"/>
    <w:rsid w:val="0091763A"/>
    <w:rsid w:val="009342A6"/>
    <w:rsid w:val="00A05CCD"/>
    <w:rsid w:val="00AA4F8A"/>
    <w:rsid w:val="00AC317F"/>
    <w:rsid w:val="00AD7037"/>
    <w:rsid w:val="00AF7CAE"/>
    <w:rsid w:val="00B34EAB"/>
    <w:rsid w:val="00B365B4"/>
    <w:rsid w:val="00BA51C0"/>
    <w:rsid w:val="00C70850"/>
    <w:rsid w:val="00C93D34"/>
    <w:rsid w:val="00CB5CE9"/>
    <w:rsid w:val="00DD17C5"/>
    <w:rsid w:val="00E071F9"/>
    <w:rsid w:val="00E547EA"/>
    <w:rsid w:val="00E810E1"/>
    <w:rsid w:val="00EA7E5D"/>
    <w:rsid w:val="00F107CD"/>
    <w:rsid w:val="00F53FEA"/>
    <w:rsid w:val="00FD6071"/>
    <w:rsid w:val="00FF23CE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137787"/>
  <w15:docId w15:val="{CB032878-10AA-4C17-BA87-825746BC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4</cp:revision>
  <dcterms:created xsi:type="dcterms:W3CDTF">2023-07-26T13:16:00Z</dcterms:created>
  <dcterms:modified xsi:type="dcterms:W3CDTF">2023-07-26T13:30:00Z</dcterms:modified>
</cp:coreProperties>
</file>