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D9DE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</w:p>
    <w:p w14:paraId="47E6C302" w14:textId="77777777" w:rsidR="003D4AA6" w:rsidRDefault="003D4AA6" w:rsidP="00D51691">
      <w:pPr>
        <w:spacing w:after="0" w:line="240" w:lineRule="auto"/>
        <w:rPr>
          <w:rFonts w:ascii="Georgia" w:eastAsia="Times New Roman" w:hAnsi="Georgia"/>
        </w:rPr>
      </w:pPr>
    </w:p>
    <w:p w14:paraId="7AD407C1" w14:textId="77777777" w:rsidR="00D51691" w:rsidRPr="00D51691" w:rsidRDefault="00D51691" w:rsidP="00D51691">
      <w:pPr>
        <w:spacing w:after="0" w:line="240" w:lineRule="auto"/>
        <w:rPr>
          <w:rFonts w:ascii="Georgia" w:eastAsia="Times New Roman" w:hAnsi="Georgia"/>
        </w:rPr>
      </w:pPr>
      <w:r w:rsidRPr="00D51691">
        <w:rPr>
          <w:rFonts w:ascii="Georgia" w:eastAsia="Times New Roman" w:hAnsi="Georgia"/>
        </w:rPr>
        <w:t>To ensure that medications, biologicals and nutritional therapy solutions are properly handled and stored.</w:t>
      </w:r>
    </w:p>
    <w:p w14:paraId="333A63C3" w14:textId="77777777" w:rsidR="00CB5CE9" w:rsidRDefault="00CB5CE9" w:rsidP="00126981">
      <w:pPr>
        <w:spacing w:after="0" w:line="240" w:lineRule="auto"/>
      </w:pPr>
    </w:p>
    <w:p w14:paraId="6211F200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657DD2BF" w14:textId="77777777" w:rsidR="003D4AA6" w:rsidRDefault="003D4AA6" w:rsidP="00D51691">
      <w:pPr>
        <w:spacing w:after="0" w:line="240" w:lineRule="auto"/>
        <w:rPr>
          <w:rFonts w:ascii="Georgia" w:eastAsia="Times New Roman" w:hAnsi="Georgia"/>
        </w:rPr>
      </w:pPr>
    </w:p>
    <w:p w14:paraId="270AE70B" w14:textId="77777777" w:rsidR="00D51691" w:rsidRPr="00D51691" w:rsidRDefault="00D51691" w:rsidP="00D51691">
      <w:pPr>
        <w:spacing w:after="0" w:line="240" w:lineRule="auto"/>
        <w:rPr>
          <w:rFonts w:ascii="Georgia" w:eastAsia="Times New Roman" w:hAnsi="Georgia"/>
        </w:rPr>
      </w:pPr>
      <w:r w:rsidRPr="00D51691">
        <w:rPr>
          <w:rFonts w:ascii="Georgia" w:eastAsia="Times New Roman" w:hAnsi="Georgia"/>
        </w:rPr>
        <w:t>Medications, biological and nutritional therapy solutions will be properly stored and distributed with acceptable standards established by the manufacturer.</w:t>
      </w:r>
    </w:p>
    <w:p w14:paraId="684E5BEC" w14:textId="77777777" w:rsidR="00022604" w:rsidRDefault="00022604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21295F27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4B341CA8" w14:textId="77777777" w:rsidR="003D4AA6" w:rsidRDefault="003D4AA6" w:rsidP="003D4AA6">
      <w:pPr>
        <w:spacing w:after="0" w:line="240" w:lineRule="auto"/>
        <w:ind w:left="432"/>
        <w:rPr>
          <w:rFonts w:ascii="Georgia" w:eastAsia="Times New Roman" w:hAnsi="Georgia" w:cs="Arial"/>
        </w:rPr>
      </w:pPr>
    </w:p>
    <w:p w14:paraId="293C296E" w14:textId="4BD0F6B7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>Storage of biologicals will be limited to tuberculin, and influenza and pneumonia vaccines and the like</w:t>
      </w:r>
      <w:r w:rsidR="0050335D">
        <w:rPr>
          <w:rFonts w:ascii="Georgia" w:eastAsia="Times New Roman" w:hAnsi="Georgia" w:cs="Arial"/>
        </w:rPr>
        <w:t>, as allowed by relevant pharmacy board regulations</w:t>
      </w:r>
      <w:r w:rsidRPr="00F0125F">
        <w:rPr>
          <w:rFonts w:ascii="Georgia" w:eastAsia="Times New Roman" w:hAnsi="Georgia" w:cs="Arial"/>
        </w:rPr>
        <w:t>. Nutritional therapies will not be stored at any Ohio Living office.</w:t>
      </w:r>
    </w:p>
    <w:p w14:paraId="040E36FC" w14:textId="77777777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 xml:space="preserve">All medications, chemicals, and biologicals will be labeled for contents, with expiration dates </w:t>
      </w:r>
      <w:r w:rsidRPr="00F0125F">
        <w:rPr>
          <w:rFonts w:ascii="Georgia" w:eastAsia="Times New Roman" w:hAnsi="Georgia"/>
        </w:rPr>
        <w:t>clearly</w:t>
      </w:r>
      <w:r w:rsidRPr="00F0125F">
        <w:rPr>
          <w:rFonts w:ascii="Georgia" w:eastAsia="Times New Roman" w:hAnsi="Georgia" w:cs="Arial"/>
        </w:rPr>
        <w:t xml:space="preserve"> identified. </w:t>
      </w:r>
    </w:p>
    <w:p w14:paraId="306002BE" w14:textId="77777777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F0125F">
        <w:rPr>
          <w:rFonts w:ascii="Georgia" w:eastAsia="Times New Roman" w:hAnsi="Georgia"/>
        </w:rPr>
        <w:t>Biologicals will be stored under conditions that enhance stability.  Elements to be considered include:</w:t>
      </w:r>
    </w:p>
    <w:p w14:paraId="6E55F868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F0125F">
        <w:rPr>
          <w:rFonts w:ascii="Georgia" w:eastAsia="Times New Roman" w:hAnsi="Georgia"/>
        </w:rPr>
        <w:t>Appropriate storage temperatures, utilizing appropriate thermometers and temperature logs</w:t>
      </w:r>
    </w:p>
    <w:p w14:paraId="73278F43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>Protecting s</w:t>
      </w:r>
      <w:r w:rsidRPr="00F0125F">
        <w:rPr>
          <w:rFonts w:ascii="Georgia" w:eastAsia="Times New Roman" w:hAnsi="Georgia"/>
        </w:rPr>
        <w:t>o</w:t>
      </w:r>
      <w:r w:rsidRPr="00F0125F">
        <w:rPr>
          <w:rFonts w:ascii="Georgia" w:eastAsia="Times New Roman" w:hAnsi="Georgia" w:cs="Arial"/>
        </w:rPr>
        <w:t>lutions from contamination and spoilage</w:t>
      </w:r>
    </w:p>
    <w:p w14:paraId="4FAFE351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/>
        </w:rPr>
        <w:t>Controlling</w:t>
      </w:r>
      <w:r w:rsidRPr="00F0125F">
        <w:rPr>
          <w:rFonts w:ascii="Georgia" w:eastAsia="Times New Roman" w:hAnsi="Georgia" w:cs="Arial"/>
        </w:rPr>
        <w:t xml:space="preserve"> lighting, ventilation, and humidity </w:t>
      </w:r>
    </w:p>
    <w:p w14:paraId="29B07C82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>Prevention of moisture, condensation, and mold growth</w:t>
      </w:r>
    </w:p>
    <w:p w14:paraId="72A55825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>Thorough cleaning and sanitizing of all surfaces, supplies, and equipment after each use</w:t>
      </w:r>
    </w:p>
    <w:p w14:paraId="4C338A3D" w14:textId="77777777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F0125F">
        <w:rPr>
          <w:rFonts w:ascii="Georgia" w:eastAsia="Times New Roman" w:hAnsi="Georgia"/>
        </w:rPr>
        <w:t>The environment where medications are prepared will be appropriate to the therapy preparations, in the office and patient home.  Areas to consider include:</w:t>
      </w:r>
    </w:p>
    <w:p w14:paraId="704B174E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 xml:space="preserve">Functionally </w:t>
      </w:r>
      <w:r w:rsidRPr="00F0125F">
        <w:rPr>
          <w:rFonts w:ascii="Georgia" w:eastAsia="Times New Roman" w:hAnsi="Georgia"/>
        </w:rPr>
        <w:t>separate</w:t>
      </w:r>
      <w:r w:rsidRPr="00F0125F">
        <w:rPr>
          <w:rFonts w:ascii="Georgia" w:eastAsia="Times New Roman" w:hAnsi="Georgia" w:cs="Arial"/>
        </w:rPr>
        <w:t xml:space="preserve"> areas for sterile product preparation </w:t>
      </w:r>
    </w:p>
    <w:p w14:paraId="0BCA00AD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lastRenderedPageBreak/>
        <w:t xml:space="preserve">An </w:t>
      </w:r>
      <w:r w:rsidRPr="00F0125F">
        <w:rPr>
          <w:rFonts w:ascii="Georgia" w:eastAsia="Times New Roman" w:hAnsi="Georgia"/>
        </w:rPr>
        <w:t>environment</w:t>
      </w:r>
      <w:r w:rsidRPr="00F0125F">
        <w:rPr>
          <w:rFonts w:ascii="Georgia" w:eastAsia="Times New Roman" w:hAnsi="Georgia" w:cs="Arial"/>
        </w:rPr>
        <w:t xml:space="preserve"> suitable to preparation of sterile products</w:t>
      </w:r>
    </w:p>
    <w:p w14:paraId="5F88B1B5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 xml:space="preserve">Safety </w:t>
      </w:r>
      <w:r w:rsidRPr="00F0125F">
        <w:rPr>
          <w:rFonts w:ascii="Georgia" w:eastAsia="Times New Roman" w:hAnsi="Georgia"/>
        </w:rPr>
        <w:t>equipment</w:t>
      </w:r>
      <w:r w:rsidRPr="00F0125F">
        <w:rPr>
          <w:rFonts w:ascii="Georgia" w:eastAsia="Times New Roman" w:hAnsi="Georgia" w:cs="Arial"/>
        </w:rPr>
        <w:t xml:space="preserve"> to protect personnel preparing cytotoxic or hazardous medications</w:t>
      </w:r>
    </w:p>
    <w:p w14:paraId="1A1643D3" w14:textId="77777777" w:rsidR="00F0125F" w:rsidRPr="00F0125F" w:rsidRDefault="00F0125F" w:rsidP="00F0125F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F0125F">
        <w:rPr>
          <w:rFonts w:ascii="Georgia" w:eastAsia="Times New Roman" w:hAnsi="Georgia" w:cs="Arial"/>
        </w:rPr>
        <w:t xml:space="preserve">Clutter free, clean work surface for medication preparation </w:t>
      </w:r>
    </w:p>
    <w:p w14:paraId="6334ABAC" w14:textId="4B7E1811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F0125F">
        <w:rPr>
          <w:rFonts w:ascii="Georgia" w:eastAsia="Times New Roman" w:hAnsi="Georgia"/>
        </w:rPr>
        <w:t xml:space="preserve">Medication preparation will only be done by personnel </w:t>
      </w:r>
      <w:r w:rsidR="008C7367">
        <w:rPr>
          <w:rFonts w:ascii="Georgia" w:eastAsia="Times New Roman" w:hAnsi="Georgia"/>
        </w:rPr>
        <w:t>within their scope of practice</w:t>
      </w:r>
      <w:r w:rsidRPr="00F0125F">
        <w:rPr>
          <w:rFonts w:ascii="Georgia" w:eastAsia="Times New Roman" w:hAnsi="Georgia"/>
        </w:rPr>
        <w:t xml:space="preserve"> regarding medication</w:t>
      </w:r>
      <w:r w:rsidR="008C7367">
        <w:rPr>
          <w:rFonts w:ascii="Georgia" w:eastAsia="Times New Roman" w:hAnsi="Georgia"/>
        </w:rPr>
        <w:t xml:space="preserve"> and nutrition therapy preparation</w:t>
      </w:r>
      <w:r w:rsidRPr="00F0125F">
        <w:rPr>
          <w:rFonts w:ascii="Georgia" w:eastAsia="Times New Roman" w:hAnsi="Georgia"/>
        </w:rPr>
        <w:t xml:space="preserve">.  Multi-dose vials will be discarded </w:t>
      </w:r>
      <w:r w:rsidR="00EB0A5A">
        <w:rPr>
          <w:rFonts w:ascii="Georgia" w:eastAsia="Times New Roman" w:hAnsi="Georgia"/>
        </w:rPr>
        <w:t xml:space="preserve">per </w:t>
      </w:r>
      <w:r w:rsidR="00F63582">
        <w:rPr>
          <w:rFonts w:ascii="Georgia" w:eastAsia="Times New Roman" w:hAnsi="Georgia"/>
        </w:rPr>
        <w:t>manufacturer’s</w:t>
      </w:r>
      <w:bookmarkStart w:id="0" w:name="_GoBack"/>
      <w:bookmarkEnd w:id="0"/>
      <w:r w:rsidR="000254FE">
        <w:rPr>
          <w:rFonts w:ascii="Georgia" w:eastAsia="Times New Roman" w:hAnsi="Georgia"/>
        </w:rPr>
        <w:t xml:space="preserve"> </w:t>
      </w:r>
      <w:r w:rsidR="007E3F8D">
        <w:rPr>
          <w:rFonts w:ascii="Georgia" w:eastAsia="Times New Roman" w:hAnsi="Georgia"/>
        </w:rPr>
        <w:t xml:space="preserve"> guidance.</w:t>
      </w:r>
    </w:p>
    <w:p w14:paraId="76AAE443" w14:textId="77777777" w:rsidR="00F0125F" w:rsidRPr="00F0125F" w:rsidRDefault="00F0125F" w:rsidP="00F0125F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/>
        </w:rPr>
      </w:pPr>
      <w:r w:rsidRPr="00F0125F">
        <w:rPr>
          <w:rFonts w:ascii="Georgia" w:eastAsia="Times New Roman" w:hAnsi="Georgia"/>
        </w:rPr>
        <w:t>Clinicians</w:t>
      </w:r>
      <w:r w:rsidR="008C7367">
        <w:rPr>
          <w:rFonts w:ascii="Georgia" w:eastAsia="Times New Roman" w:hAnsi="Georgia"/>
        </w:rPr>
        <w:t>, within their scope of practice,</w:t>
      </w:r>
      <w:r w:rsidRPr="00F0125F">
        <w:rPr>
          <w:rFonts w:ascii="Georgia" w:eastAsia="Times New Roman" w:hAnsi="Georgia"/>
        </w:rPr>
        <w:t xml:space="preserve"> will provide instruction and education to the patient and family/caregiver and document evidence of instruction in the clinical/service record.</w:t>
      </w:r>
    </w:p>
    <w:p w14:paraId="1503C512" w14:textId="77777777" w:rsidR="00F0125F" w:rsidRPr="004039FB" w:rsidRDefault="00F0125F" w:rsidP="004039FB"/>
    <w:sectPr w:rsidR="00F0125F" w:rsidRPr="004039FB" w:rsidSect="00A9592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EABE" w14:textId="77777777" w:rsidR="0030631C" w:rsidRDefault="0030631C" w:rsidP="00004886">
      <w:pPr>
        <w:spacing w:after="0" w:line="240" w:lineRule="auto"/>
      </w:pPr>
      <w:r>
        <w:separator/>
      </w:r>
    </w:p>
  </w:endnote>
  <w:endnote w:type="continuationSeparator" w:id="0">
    <w:p w14:paraId="1AFDBA50" w14:textId="77777777" w:rsidR="0030631C" w:rsidRDefault="0030631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448924753"/>
      <w:docPartObj>
        <w:docPartGallery w:val="Page Numbers (Top of Page)"/>
        <w:docPartUnique/>
      </w:docPartObj>
    </w:sdtPr>
    <w:sdtEndPr/>
    <w:sdtContent>
      <w:p w14:paraId="468940B7" w14:textId="77777777" w:rsidR="0036784E" w:rsidRPr="0036784E" w:rsidRDefault="0036784E" w:rsidP="0036784E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8755138" w14:textId="77777777" w:rsidR="003A605C" w:rsidRPr="0036784E" w:rsidRDefault="003A605C" w:rsidP="0036784E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F837" w14:textId="77777777" w:rsidR="0030631C" w:rsidRDefault="0030631C" w:rsidP="00004886">
      <w:pPr>
        <w:spacing w:after="0" w:line="240" w:lineRule="auto"/>
      </w:pPr>
      <w:r>
        <w:separator/>
      </w:r>
    </w:p>
  </w:footnote>
  <w:footnote w:type="continuationSeparator" w:id="0">
    <w:p w14:paraId="429A1144" w14:textId="77777777" w:rsidR="0030631C" w:rsidRDefault="0030631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DD5A" w14:textId="77777777" w:rsidR="003A605C" w:rsidRDefault="00F0125F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E7B81" wp14:editId="6274D888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49220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37A3BCFD" wp14:editId="1F95F8C0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A95924" w:rsidRPr="00004886" w14:paraId="55E244E7" w14:textId="77777777" w:rsidTr="00A95924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24AAD2D" w14:textId="77777777" w:rsidR="00A95924" w:rsidRPr="0091763A" w:rsidRDefault="00A95924" w:rsidP="00A9592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A95924" w:rsidRPr="00004886" w14:paraId="4071662E" w14:textId="77777777" w:rsidTr="00A95924">
      <w:trPr>
        <w:trHeight w:val="518"/>
      </w:trPr>
      <w:tc>
        <w:tcPr>
          <w:tcW w:w="9350" w:type="dxa"/>
          <w:gridSpan w:val="3"/>
          <w:vAlign w:val="center"/>
        </w:tcPr>
        <w:p w14:paraId="647A3C8A" w14:textId="77777777" w:rsidR="00A95924" w:rsidRPr="00383057" w:rsidRDefault="00A95924" w:rsidP="00A9592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Storage of Medications and Nutritional Therapies</w:t>
          </w:r>
        </w:p>
      </w:tc>
    </w:tr>
    <w:tr w:rsidR="00017F74" w:rsidRPr="00004886" w14:paraId="73EF7AA5" w14:textId="77777777" w:rsidTr="00A95924">
      <w:tc>
        <w:tcPr>
          <w:tcW w:w="3122" w:type="dxa"/>
          <w:shd w:val="clear" w:color="auto" w:fill="D9D9D9" w:themeFill="background1" w:themeFillShade="D9"/>
        </w:tcPr>
        <w:p w14:paraId="5969C9B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A6BD3C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14:paraId="25A988B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A95924" w:rsidRPr="00004886" w14:paraId="7B3036C8" w14:textId="77777777" w:rsidTr="00A95924">
      <w:tc>
        <w:tcPr>
          <w:tcW w:w="3122" w:type="dxa"/>
        </w:tcPr>
        <w:p w14:paraId="454110CA" w14:textId="77777777" w:rsidR="00A95924" w:rsidRPr="00383057" w:rsidRDefault="00A95924" w:rsidP="00A9592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C2DF12B" w14:textId="3AD04EF0" w:rsidR="00A95924" w:rsidRPr="00383057" w:rsidRDefault="00F63582" w:rsidP="00A9592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3" w:type="dxa"/>
        </w:tcPr>
        <w:p w14:paraId="3989EC04" w14:textId="0525B3C0" w:rsidR="00A95924" w:rsidRPr="00383057" w:rsidRDefault="00F63582" w:rsidP="00A9592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A95924" w:rsidRPr="00004886" w14:paraId="750A6AF9" w14:textId="77777777" w:rsidTr="00A95924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3B294FD" w14:textId="77777777" w:rsidR="00A95924" w:rsidRPr="0091763A" w:rsidRDefault="00A95924" w:rsidP="00A9592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 w:rsidR="001F6149"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A95924" w:rsidRPr="00004886" w14:paraId="1FF30CC3" w14:textId="77777777" w:rsidTr="00A95924">
      <w:trPr>
        <w:trHeight w:val="677"/>
      </w:trPr>
      <w:tc>
        <w:tcPr>
          <w:tcW w:w="9350" w:type="dxa"/>
          <w:gridSpan w:val="3"/>
          <w:vAlign w:val="center"/>
        </w:tcPr>
        <w:p w14:paraId="2BB6D416" w14:textId="77777777" w:rsidR="00A95924" w:rsidRPr="00383057" w:rsidRDefault="00A95924" w:rsidP="00A95924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017F74" w:rsidRPr="00004886" w14:paraId="2DD52889" w14:textId="77777777" w:rsidTr="00A9592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A3D543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D07BD6D" w14:textId="77777777" w:rsidTr="00A9592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580E616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CFAB37F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A4D13"/>
    <w:multiLevelType w:val="hybridMultilevel"/>
    <w:tmpl w:val="819E1F0A"/>
    <w:lvl w:ilvl="0" w:tplc="1584D472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Georgia" w:hAnsi="Georgia" w:hint="default"/>
        <w:b w:val="0"/>
        <w:i w:val="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22604"/>
    <w:rsid w:val="000254FE"/>
    <w:rsid w:val="00070BDF"/>
    <w:rsid w:val="000E0733"/>
    <w:rsid w:val="00126981"/>
    <w:rsid w:val="001F5C78"/>
    <w:rsid w:val="001F6149"/>
    <w:rsid w:val="002174C0"/>
    <w:rsid w:val="0030631C"/>
    <w:rsid w:val="00333725"/>
    <w:rsid w:val="00366B62"/>
    <w:rsid w:val="0036784E"/>
    <w:rsid w:val="00383057"/>
    <w:rsid w:val="003A605C"/>
    <w:rsid w:val="003D4AA6"/>
    <w:rsid w:val="004039FB"/>
    <w:rsid w:val="00496194"/>
    <w:rsid w:val="004B00A2"/>
    <w:rsid w:val="004F7E1E"/>
    <w:rsid w:val="0050335D"/>
    <w:rsid w:val="005A6D36"/>
    <w:rsid w:val="006318B2"/>
    <w:rsid w:val="00636251"/>
    <w:rsid w:val="00636939"/>
    <w:rsid w:val="0064513A"/>
    <w:rsid w:val="006772EC"/>
    <w:rsid w:val="00721119"/>
    <w:rsid w:val="00744C01"/>
    <w:rsid w:val="007D240F"/>
    <w:rsid w:val="007E3F8D"/>
    <w:rsid w:val="00806F6F"/>
    <w:rsid w:val="00857EA6"/>
    <w:rsid w:val="008C7367"/>
    <w:rsid w:val="008F49D4"/>
    <w:rsid w:val="00914055"/>
    <w:rsid w:val="0091763A"/>
    <w:rsid w:val="009342A6"/>
    <w:rsid w:val="00A95924"/>
    <w:rsid w:val="00AA4F8A"/>
    <w:rsid w:val="00AC317F"/>
    <w:rsid w:val="00AF7CAE"/>
    <w:rsid w:val="00BA51C0"/>
    <w:rsid w:val="00BE4336"/>
    <w:rsid w:val="00C70850"/>
    <w:rsid w:val="00C857F7"/>
    <w:rsid w:val="00CB5CE9"/>
    <w:rsid w:val="00D51691"/>
    <w:rsid w:val="00DD17C5"/>
    <w:rsid w:val="00DF0083"/>
    <w:rsid w:val="00E547EA"/>
    <w:rsid w:val="00E810E1"/>
    <w:rsid w:val="00EB0A5A"/>
    <w:rsid w:val="00F0125F"/>
    <w:rsid w:val="00F107CD"/>
    <w:rsid w:val="00F53FEA"/>
    <w:rsid w:val="00F63582"/>
    <w:rsid w:val="00F81B8C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B74D7A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2024-02-14T19:48:00Z</dcterms:created>
  <dcterms:modified xsi:type="dcterms:W3CDTF">2024-02-14T19:49:00Z</dcterms:modified>
</cp:coreProperties>
</file>