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CF66" w14:textId="77777777" w:rsidR="006C1F75" w:rsidRPr="005E28C5" w:rsidRDefault="003B4ED4" w:rsidP="009320A0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5E28C5">
        <w:rPr>
          <w:rFonts w:ascii="Avenir" w:hAnsi="Avenir" w:cs="Arial"/>
          <w:b/>
          <w:bCs/>
        </w:rPr>
        <w:t>Basic Responsibility</w:t>
      </w:r>
    </w:p>
    <w:p w14:paraId="04BD469D" w14:textId="77777777" w:rsidR="005E28C5" w:rsidRPr="005E28C5" w:rsidRDefault="006344F2" w:rsidP="005E28C5">
      <w:pPr>
        <w:pStyle w:val="Heading2"/>
        <w:spacing w:before="0" w:after="100" w:line="240" w:lineRule="auto"/>
        <w:ind w:left="360"/>
        <w:rPr>
          <w:rFonts w:ascii="Georgia" w:eastAsia="Times New Roman" w:hAnsi="Georgia" w:cs="Arial"/>
          <w:sz w:val="22"/>
          <w:szCs w:val="22"/>
        </w:rPr>
      </w:pPr>
      <w:r w:rsidRPr="005E28C5">
        <w:rPr>
          <w:rFonts w:ascii="Georgia" w:eastAsia="Times New Roman" w:hAnsi="Georgia" w:cs="Arial"/>
          <w:b w:val="0"/>
          <w:color w:val="auto"/>
          <w:sz w:val="22"/>
          <w:szCs w:val="22"/>
        </w:rPr>
        <w:t>Licensed Nurse</w:t>
      </w:r>
      <w:r w:rsidR="005E28C5" w:rsidRPr="005E28C5">
        <w:rPr>
          <w:rFonts w:ascii="Georgia" w:eastAsia="Times New Roman" w:hAnsi="Georgia" w:cs="Arial"/>
          <w:b w:val="0"/>
          <w:color w:val="auto"/>
          <w:sz w:val="22"/>
          <w:szCs w:val="22"/>
        </w:rPr>
        <w:t>, Interdisciplinary Team and Physician</w:t>
      </w:r>
    </w:p>
    <w:p w14:paraId="6C4A9E3E" w14:textId="77777777" w:rsidR="00D37A58" w:rsidRPr="005E28C5" w:rsidRDefault="00D37A58" w:rsidP="005E28C5">
      <w:pPr>
        <w:pStyle w:val="Heading2"/>
        <w:spacing w:before="0" w:after="100" w:line="240" w:lineRule="auto"/>
        <w:ind w:left="360"/>
        <w:rPr>
          <w:rFonts w:ascii="Georgia" w:eastAsia="Times New Roman" w:hAnsi="Georgia" w:cs="Arial"/>
          <w:b w:val="0"/>
          <w:color w:val="auto"/>
          <w:sz w:val="22"/>
          <w:szCs w:val="22"/>
        </w:rPr>
      </w:pPr>
    </w:p>
    <w:p w14:paraId="05A5ACFC" w14:textId="77777777" w:rsidR="00D37A58" w:rsidRPr="005E28C5" w:rsidRDefault="00D37A58" w:rsidP="009320A0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5E28C5">
        <w:rPr>
          <w:rFonts w:ascii="Avenir" w:hAnsi="Avenir" w:cs="Arial"/>
          <w:b/>
          <w:bCs/>
        </w:rPr>
        <w:t>P</w:t>
      </w:r>
      <w:r w:rsidR="006344F2" w:rsidRPr="005E28C5">
        <w:rPr>
          <w:rFonts w:ascii="Avenir" w:hAnsi="Avenir" w:cs="Arial"/>
          <w:b/>
          <w:bCs/>
        </w:rPr>
        <w:t>urpose</w:t>
      </w:r>
    </w:p>
    <w:p w14:paraId="3FE9E7C9" w14:textId="77777777" w:rsidR="005E28C5" w:rsidRPr="005E28C5" w:rsidRDefault="005E28C5" w:rsidP="009320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 xml:space="preserve">To enforce the resident’s right to </w:t>
      </w:r>
      <w:proofErr w:type="spellStart"/>
      <w:r w:rsidRPr="005E28C5">
        <w:rPr>
          <w:rFonts w:ascii="Georgia" w:eastAsia="Times New Roman" w:hAnsi="Georgia" w:cs="Arial"/>
          <w:bCs/>
        </w:rPr>
        <w:t>self medicate</w:t>
      </w:r>
      <w:proofErr w:type="spellEnd"/>
    </w:p>
    <w:p w14:paraId="0B6DD241" w14:textId="77777777" w:rsidR="005E28C5" w:rsidRPr="005E28C5" w:rsidRDefault="005E28C5" w:rsidP="009320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>To avoid medication errors</w:t>
      </w:r>
    </w:p>
    <w:p w14:paraId="0F27BEFD" w14:textId="77777777" w:rsidR="005E28C5" w:rsidRPr="005E28C5" w:rsidRDefault="005E28C5" w:rsidP="009320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>To ensure the resident’s safety</w:t>
      </w:r>
    </w:p>
    <w:p w14:paraId="02D6AC4E" w14:textId="77777777" w:rsidR="005E28C5" w:rsidRPr="005E28C5" w:rsidRDefault="005E28C5" w:rsidP="005E28C5">
      <w:pPr>
        <w:widowControl w:val="0"/>
        <w:autoSpaceDE w:val="0"/>
        <w:autoSpaceDN w:val="0"/>
        <w:adjustRightInd w:val="0"/>
        <w:spacing w:after="100" w:line="240" w:lineRule="auto"/>
        <w:rPr>
          <w:rFonts w:ascii="Avenir" w:hAnsi="Avenir" w:cs="Arial"/>
          <w:b/>
          <w:bCs/>
        </w:rPr>
      </w:pPr>
    </w:p>
    <w:p w14:paraId="009CEF40" w14:textId="77777777" w:rsidR="00A87C23" w:rsidRPr="005E28C5" w:rsidRDefault="00A87C23" w:rsidP="009320A0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5E28C5">
        <w:rPr>
          <w:rFonts w:ascii="Avenir" w:hAnsi="Avenir" w:cs="Arial"/>
          <w:b/>
          <w:bCs/>
        </w:rPr>
        <w:t>Equipment</w:t>
      </w:r>
    </w:p>
    <w:p w14:paraId="1F932599" w14:textId="77777777" w:rsidR="005E28C5" w:rsidRPr="005E28C5" w:rsidRDefault="005E28C5" w:rsidP="005E28C5">
      <w:pPr>
        <w:pStyle w:val="Heading1"/>
        <w:numPr>
          <w:ilvl w:val="0"/>
          <w:numId w:val="39"/>
        </w:numPr>
        <w:spacing w:after="100"/>
        <w:rPr>
          <w:rFonts w:ascii="Georgia" w:hAnsi="Georgia" w:cs="Arial"/>
          <w:bCs/>
          <w:sz w:val="22"/>
          <w:szCs w:val="22"/>
        </w:rPr>
      </w:pPr>
      <w:r w:rsidRPr="005E28C5">
        <w:rPr>
          <w:rFonts w:ascii="Georgia" w:hAnsi="Georgia" w:cs="Arial"/>
          <w:bCs/>
          <w:sz w:val="22"/>
          <w:szCs w:val="22"/>
        </w:rPr>
        <w:t xml:space="preserve">Self-Administration Evaluation Observation in the electronic medical record. </w:t>
      </w:r>
    </w:p>
    <w:p w14:paraId="6B1623A8" w14:textId="77777777" w:rsidR="005E28C5" w:rsidRPr="005E28C5" w:rsidRDefault="005E28C5" w:rsidP="009320A0">
      <w:pPr>
        <w:pStyle w:val="Heading1"/>
        <w:rPr>
          <w:rFonts w:ascii="Avenir" w:hAnsi="Avenir"/>
          <w:b/>
          <w:sz w:val="22"/>
          <w:szCs w:val="22"/>
        </w:rPr>
      </w:pPr>
    </w:p>
    <w:p w14:paraId="4B62E339" w14:textId="77777777" w:rsidR="006C1F75" w:rsidRPr="005E28C5" w:rsidRDefault="006C1F75" w:rsidP="009320A0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 w:rsidRPr="005E28C5">
        <w:rPr>
          <w:rFonts w:ascii="Avenir" w:hAnsi="Avenir"/>
          <w:b/>
          <w:sz w:val="22"/>
          <w:szCs w:val="22"/>
        </w:rPr>
        <w:t xml:space="preserve">Procedure </w:t>
      </w:r>
    </w:p>
    <w:p w14:paraId="2BB3D541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All residents will be asked if they wish to self-medicate</w:t>
      </w:r>
    </w:p>
    <w:p w14:paraId="2D08E665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All residents that express a desire to self-medicate will be evaluated by a nurse and/or the Interdisciplinary Team to determine if the resident can self-administer medications safely</w:t>
      </w:r>
    </w:p>
    <w:p w14:paraId="497B8AFB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If the resident is able to self-administer medications the nurse/team will determine:</w:t>
      </w:r>
    </w:p>
    <w:p w14:paraId="238F944E" w14:textId="77777777" w:rsidR="005E28C5" w:rsidRPr="005E28C5" w:rsidRDefault="005E28C5" w:rsidP="009320A0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Who will be responsible (nursing staff or resident) for storage and documentation of administration</w:t>
      </w:r>
    </w:p>
    <w:p w14:paraId="563934FF" w14:textId="77777777" w:rsidR="005E28C5" w:rsidRPr="005E28C5" w:rsidRDefault="005E28C5" w:rsidP="009320A0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Where administration will take place: resident’s room, nursing station, etc.</w:t>
      </w:r>
    </w:p>
    <w:p w14:paraId="6BB31178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>All appropriate documentation will be placed on the resident’s care plan</w:t>
      </w:r>
    </w:p>
    <w:p w14:paraId="4FB22BF1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 xml:space="preserve">The </w:t>
      </w:r>
      <w:proofErr w:type="spellStart"/>
      <w:r w:rsidRPr="005E28C5">
        <w:rPr>
          <w:rFonts w:ascii="Georgia" w:hAnsi="Georgia"/>
        </w:rPr>
        <w:t>resident’s</w:t>
      </w:r>
      <w:proofErr w:type="spellEnd"/>
      <w:r w:rsidRPr="005E28C5">
        <w:rPr>
          <w:rFonts w:ascii="Georgia" w:hAnsi="Georgia"/>
        </w:rPr>
        <w:t xml:space="preserve"> ability to self-administer medications will be reevaluated based on changes in resident’s status </w:t>
      </w:r>
    </w:p>
    <w:p w14:paraId="014CA66E" w14:textId="77777777" w:rsidR="005E28C5" w:rsidRPr="005E28C5" w:rsidRDefault="005E28C5" w:rsidP="009320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5E28C5">
        <w:rPr>
          <w:rFonts w:ascii="Georgia" w:hAnsi="Georgia"/>
        </w:rPr>
        <w:t xml:space="preserve">The facility can require that the nurse administer medications until the Interdisciplinary Team has the opportunity to obtain the information to make an assessment of the </w:t>
      </w:r>
      <w:proofErr w:type="spellStart"/>
      <w:r w:rsidRPr="005E28C5">
        <w:rPr>
          <w:rFonts w:ascii="Georgia" w:hAnsi="Georgia"/>
        </w:rPr>
        <w:t>resident’s</w:t>
      </w:r>
      <w:proofErr w:type="spellEnd"/>
      <w:r w:rsidRPr="005E28C5">
        <w:rPr>
          <w:rFonts w:ascii="Georgia" w:hAnsi="Georgia"/>
        </w:rPr>
        <w:t xml:space="preserve"> ability to safely self-administer medications</w:t>
      </w:r>
    </w:p>
    <w:p w14:paraId="3D76F9FE" w14:textId="77777777" w:rsidR="00A87C23" w:rsidRPr="005E28C5" w:rsidRDefault="00A87C23" w:rsidP="009320A0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5E28C5">
        <w:rPr>
          <w:rFonts w:ascii="Avenir" w:hAnsi="Avenir" w:cs="Arial"/>
          <w:b/>
          <w:bCs/>
        </w:rPr>
        <w:lastRenderedPageBreak/>
        <w:t>General Documentation Guidelines</w:t>
      </w:r>
    </w:p>
    <w:p w14:paraId="18616290" w14:textId="77777777" w:rsidR="005E28C5" w:rsidRPr="005E28C5" w:rsidRDefault="005E28C5" w:rsidP="009320A0">
      <w:pPr>
        <w:numPr>
          <w:ilvl w:val="0"/>
          <w:numId w:val="38"/>
        </w:numPr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>Complete the Self Administration Evaluation Observation</w:t>
      </w:r>
    </w:p>
    <w:p w14:paraId="6B0EE741" w14:textId="77777777" w:rsidR="005E28C5" w:rsidRPr="005E28C5" w:rsidRDefault="005E28C5" w:rsidP="009320A0">
      <w:pPr>
        <w:numPr>
          <w:ilvl w:val="0"/>
          <w:numId w:val="38"/>
        </w:numPr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>If the resident is able to self-administer medications include this in the care plan</w:t>
      </w:r>
    </w:p>
    <w:p w14:paraId="35CAAA9D" w14:textId="77777777" w:rsidR="005E28C5" w:rsidRPr="005E28C5" w:rsidRDefault="005E28C5" w:rsidP="009320A0">
      <w:pPr>
        <w:numPr>
          <w:ilvl w:val="0"/>
          <w:numId w:val="38"/>
        </w:numPr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>Documents what medications the resident self-administers, where they self-administer and where the medications are kept</w:t>
      </w:r>
    </w:p>
    <w:p w14:paraId="3B002892" w14:textId="77777777" w:rsidR="005E28C5" w:rsidRPr="005E28C5" w:rsidRDefault="005E28C5" w:rsidP="009320A0">
      <w:pPr>
        <w:numPr>
          <w:ilvl w:val="0"/>
          <w:numId w:val="38"/>
        </w:numPr>
        <w:spacing w:after="0" w:line="240" w:lineRule="auto"/>
        <w:rPr>
          <w:rFonts w:ascii="Georgia" w:eastAsia="Times New Roman" w:hAnsi="Georgia" w:cs="Arial"/>
          <w:bCs/>
        </w:rPr>
      </w:pPr>
      <w:r w:rsidRPr="005E28C5">
        <w:rPr>
          <w:rFonts w:ascii="Georgia" w:eastAsia="Times New Roman" w:hAnsi="Georgia" w:cs="Arial"/>
          <w:bCs/>
        </w:rPr>
        <w:t xml:space="preserve">The resident’s physician will sign the self-administration observation and it will then be scanned into the patient’s record or the physician will write an order listing the mediations that may be self-administered. </w:t>
      </w:r>
    </w:p>
    <w:p w14:paraId="10213339" w14:textId="77777777" w:rsidR="00E06301" w:rsidRPr="00E06301" w:rsidRDefault="00E06301" w:rsidP="00E06301">
      <w:pPr>
        <w:spacing w:after="100" w:line="240" w:lineRule="auto"/>
        <w:rPr>
          <w:rFonts w:ascii="Georgia" w:hAnsi="Georgia" w:cs="Arial"/>
        </w:rPr>
      </w:pPr>
    </w:p>
    <w:sectPr w:rsidR="00E06301" w:rsidRPr="00E06301" w:rsidSect="009320A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4E63" w14:textId="77777777" w:rsidR="00116142" w:rsidRDefault="00116142" w:rsidP="00004886">
      <w:pPr>
        <w:spacing w:after="0" w:line="240" w:lineRule="auto"/>
      </w:pPr>
      <w:r>
        <w:separator/>
      </w:r>
    </w:p>
  </w:endnote>
  <w:endnote w:type="continuationSeparator" w:id="0">
    <w:p w14:paraId="6B929879" w14:textId="77777777" w:rsidR="00116142" w:rsidRDefault="0011614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1154" w14:textId="2D14FFC4" w:rsidR="009320A0" w:rsidRDefault="009320A0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404F38E2" w14:textId="77777777" w:rsidR="009320A0" w:rsidRDefault="00932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6430270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3C16FEE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52C6B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52C6B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EFF739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5859" w14:textId="77777777" w:rsidR="00116142" w:rsidRDefault="00116142" w:rsidP="00004886">
      <w:pPr>
        <w:spacing w:after="0" w:line="240" w:lineRule="auto"/>
      </w:pPr>
      <w:r>
        <w:separator/>
      </w:r>
    </w:p>
  </w:footnote>
  <w:footnote w:type="continuationSeparator" w:id="0">
    <w:p w14:paraId="6AD31D4C" w14:textId="77777777" w:rsidR="00116142" w:rsidRDefault="0011614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7D91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AA35AF6" wp14:editId="67E589B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F1387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A35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" stroked="f">
              <v:textbox style="mso-fit-shape-to-text:t">
                <w:txbxContent>
                  <w:p w14:paraId="502F1387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BE16FDF" wp14:editId="428DACE8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20A0" w:rsidRPr="00004886" w14:paraId="364A6749" w14:textId="77777777" w:rsidTr="009320A0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32B7C40" w14:textId="77777777" w:rsidR="009320A0" w:rsidRPr="0091763A" w:rsidRDefault="009320A0" w:rsidP="009320A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9320A0" w:rsidRPr="00004886" w14:paraId="0903F258" w14:textId="77777777" w:rsidTr="009320A0">
      <w:trPr>
        <w:trHeight w:val="432"/>
      </w:trPr>
      <w:tc>
        <w:tcPr>
          <w:tcW w:w="9576" w:type="dxa"/>
          <w:gridSpan w:val="3"/>
          <w:vAlign w:val="center"/>
        </w:tcPr>
        <w:p w14:paraId="61C977C0" w14:textId="77777777" w:rsidR="009320A0" w:rsidRPr="00BA327C" w:rsidRDefault="009320A0" w:rsidP="009320A0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BA327C">
            <w:rPr>
              <w:rFonts w:ascii="Georgia" w:eastAsiaTheme="minorHAnsi" w:hAnsi="Georgia" w:cstheme="minorBidi"/>
              <w:sz w:val="22"/>
            </w:rPr>
            <w:t>Self-Administration of Medications</w:t>
          </w:r>
        </w:p>
      </w:tc>
    </w:tr>
    <w:tr w:rsidR="00017F74" w:rsidRPr="00004886" w14:paraId="04FCF4B1" w14:textId="77777777" w:rsidTr="00D755F0">
      <w:tc>
        <w:tcPr>
          <w:tcW w:w="3192" w:type="dxa"/>
          <w:shd w:val="clear" w:color="auto" w:fill="D9D9D9" w:themeFill="background1" w:themeFillShade="D9"/>
        </w:tcPr>
        <w:p w14:paraId="7774DB8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916C7C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9FAC8F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D3AB91D" w14:textId="77777777" w:rsidTr="00D755F0">
      <w:tc>
        <w:tcPr>
          <w:tcW w:w="3192" w:type="dxa"/>
        </w:tcPr>
        <w:p w14:paraId="7743E3EB" w14:textId="482C3D1E" w:rsidR="00017F74" w:rsidRPr="00383057" w:rsidRDefault="009320A0" w:rsidP="005E28C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E28C5">
            <w:rPr>
              <w:rFonts w:ascii="Georgia" w:eastAsiaTheme="minorHAnsi" w:hAnsi="Georgia" w:cstheme="minorBidi"/>
            </w:rPr>
            <w:t>5</w:t>
          </w:r>
          <w:r w:rsidR="006344F2">
            <w:rPr>
              <w:rFonts w:ascii="Georgia" w:eastAsiaTheme="minorHAnsi" w:hAnsi="Georgia" w:cstheme="minorBidi"/>
            </w:rPr>
            <w:t>/</w:t>
          </w:r>
          <w:r w:rsidR="00BA327C">
            <w:rPr>
              <w:rFonts w:ascii="Georgia" w:eastAsiaTheme="minorHAnsi" w:hAnsi="Georgia" w:cstheme="minorBidi"/>
            </w:rPr>
            <w:t>15/20</w:t>
          </w:r>
          <w:r w:rsidR="006344F2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28BA25D" w14:textId="75830D40" w:rsidR="00017F74" w:rsidRPr="00383057" w:rsidRDefault="009320A0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06/26/2024</w:t>
          </w:r>
        </w:p>
      </w:tc>
      <w:tc>
        <w:tcPr>
          <w:tcW w:w="3192" w:type="dxa"/>
        </w:tcPr>
        <w:p w14:paraId="41E08428" w14:textId="3030A0FB" w:rsidR="00017F74" w:rsidRPr="00383057" w:rsidRDefault="009320A0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06/26/2026</w:t>
          </w:r>
        </w:p>
      </w:tc>
    </w:tr>
    <w:tr w:rsidR="00B850AC" w:rsidRPr="00004886" w14:paraId="6D1EE9C7" w14:textId="77777777" w:rsidTr="009320A0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68450DD" w14:textId="549C7F0B" w:rsidR="00B850AC" w:rsidRPr="0091763A" w:rsidRDefault="00B850AC" w:rsidP="009320A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B850AC" w:rsidRPr="00004886" w14:paraId="30C961FA" w14:textId="77777777" w:rsidTr="009320A0">
      <w:trPr>
        <w:trHeight w:val="432"/>
      </w:trPr>
      <w:tc>
        <w:tcPr>
          <w:tcW w:w="9576" w:type="dxa"/>
          <w:gridSpan w:val="3"/>
          <w:vAlign w:val="center"/>
        </w:tcPr>
        <w:p w14:paraId="26AC085B" w14:textId="12C2BC3D" w:rsidR="00B850AC" w:rsidRPr="00383057" w:rsidRDefault="00B850AC" w:rsidP="009320A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C5271B9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8C0824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9976915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11E1AC30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0A71495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4B28AC"/>
    <w:multiLevelType w:val="hybridMultilevel"/>
    <w:tmpl w:val="2B42E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87075">
    <w:abstractNumId w:val="3"/>
  </w:num>
  <w:num w:numId="2" w16cid:durableId="1205798405">
    <w:abstractNumId w:val="35"/>
  </w:num>
  <w:num w:numId="3" w16cid:durableId="260265711">
    <w:abstractNumId w:val="15"/>
  </w:num>
  <w:num w:numId="4" w16cid:durableId="706299156">
    <w:abstractNumId w:val="27"/>
  </w:num>
  <w:num w:numId="5" w16cid:durableId="99952112">
    <w:abstractNumId w:val="8"/>
  </w:num>
  <w:num w:numId="6" w16cid:durableId="536968969">
    <w:abstractNumId w:val="37"/>
  </w:num>
  <w:num w:numId="7" w16cid:durableId="1264921025">
    <w:abstractNumId w:val="2"/>
  </w:num>
  <w:num w:numId="8" w16cid:durableId="752354227">
    <w:abstractNumId w:val="30"/>
  </w:num>
  <w:num w:numId="9" w16cid:durableId="850872798">
    <w:abstractNumId w:val="4"/>
  </w:num>
  <w:num w:numId="10" w16cid:durableId="81343728">
    <w:abstractNumId w:val="18"/>
  </w:num>
  <w:num w:numId="11" w16cid:durableId="1630042052">
    <w:abstractNumId w:val="14"/>
  </w:num>
  <w:num w:numId="12" w16cid:durableId="14028711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823114">
    <w:abstractNumId w:val="0"/>
  </w:num>
  <w:num w:numId="14" w16cid:durableId="349455098">
    <w:abstractNumId w:val="6"/>
  </w:num>
  <w:num w:numId="15" w16cid:durableId="1187672525">
    <w:abstractNumId w:val="21"/>
  </w:num>
  <w:num w:numId="16" w16cid:durableId="909538640">
    <w:abstractNumId w:val="31"/>
  </w:num>
  <w:num w:numId="17" w16cid:durableId="1675913737">
    <w:abstractNumId w:val="1"/>
  </w:num>
  <w:num w:numId="18" w16cid:durableId="73288636">
    <w:abstractNumId w:val="13"/>
  </w:num>
  <w:num w:numId="19" w16cid:durableId="1205017806">
    <w:abstractNumId w:val="22"/>
  </w:num>
  <w:num w:numId="20" w16cid:durableId="1051999346">
    <w:abstractNumId w:val="24"/>
  </w:num>
  <w:num w:numId="21" w16cid:durableId="1686129647">
    <w:abstractNumId w:val="7"/>
    <w:lvlOverride w:ilvl="0">
      <w:startOverride w:val="7"/>
    </w:lvlOverride>
  </w:num>
  <w:num w:numId="22" w16cid:durableId="1862235469">
    <w:abstractNumId w:val="19"/>
  </w:num>
  <w:num w:numId="23" w16cid:durableId="196898615">
    <w:abstractNumId w:val="29"/>
  </w:num>
  <w:num w:numId="24" w16cid:durableId="778065162">
    <w:abstractNumId w:val="38"/>
  </w:num>
  <w:num w:numId="25" w16cid:durableId="470247955">
    <w:abstractNumId w:val="5"/>
  </w:num>
  <w:num w:numId="26" w16cid:durableId="517547546">
    <w:abstractNumId w:val="26"/>
  </w:num>
  <w:num w:numId="27" w16cid:durableId="55251310">
    <w:abstractNumId w:val="20"/>
  </w:num>
  <w:num w:numId="28" w16cid:durableId="474683809">
    <w:abstractNumId w:val="28"/>
  </w:num>
  <w:num w:numId="29" w16cid:durableId="1755854822">
    <w:abstractNumId w:val="9"/>
  </w:num>
  <w:num w:numId="30" w16cid:durableId="836071121">
    <w:abstractNumId w:val="12"/>
  </w:num>
  <w:num w:numId="31" w16cid:durableId="879901265">
    <w:abstractNumId w:val="16"/>
  </w:num>
  <w:num w:numId="32" w16cid:durableId="1608544669">
    <w:abstractNumId w:val="23"/>
  </w:num>
  <w:num w:numId="33" w16cid:durableId="1444350380">
    <w:abstractNumId w:val="33"/>
  </w:num>
  <w:num w:numId="34" w16cid:durableId="1481842418">
    <w:abstractNumId w:val="32"/>
  </w:num>
  <w:num w:numId="35" w16cid:durableId="1726878559">
    <w:abstractNumId w:val="17"/>
  </w:num>
  <w:num w:numId="36" w16cid:durableId="251087042">
    <w:abstractNumId w:val="11"/>
  </w:num>
  <w:num w:numId="37" w16cid:durableId="423887733">
    <w:abstractNumId w:val="10"/>
  </w:num>
  <w:num w:numId="38" w16cid:durableId="266474805">
    <w:abstractNumId w:val="34"/>
  </w:num>
  <w:num w:numId="39" w16cid:durableId="11311710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52EE"/>
    <w:rsid w:val="00017F74"/>
    <w:rsid w:val="00024119"/>
    <w:rsid w:val="00054497"/>
    <w:rsid w:val="00070BDF"/>
    <w:rsid w:val="00094CD8"/>
    <w:rsid w:val="000C26A7"/>
    <w:rsid w:val="00103F4A"/>
    <w:rsid w:val="00116142"/>
    <w:rsid w:val="00151442"/>
    <w:rsid w:val="00154483"/>
    <w:rsid w:val="00171594"/>
    <w:rsid w:val="001E70E8"/>
    <w:rsid w:val="002174C0"/>
    <w:rsid w:val="00226A30"/>
    <w:rsid w:val="002829BD"/>
    <w:rsid w:val="00291140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96194"/>
    <w:rsid w:val="004C4532"/>
    <w:rsid w:val="004D39B1"/>
    <w:rsid w:val="004F18AD"/>
    <w:rsid w:val="004F7E1E"/>
    <w:rsid w:val="00511BA3"/>
    <w:rsid w:val="005639B8"/>
    <w:rsid w:val="005E28C5"/>
    <w:rsid w:val="006318B2"/>
    <w:rsid w:val="006344F2"/>
    <w:rsid w:val="00636251"/>
    <w:rsid w:val="0064513A"/>
    <w:rsid w:val="00674904"/>
    <w:rsid w:val="006772EC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6383F"/>
    <w:rsid w:val="00877D85"/>
    <w:rsid w:val="008870D8"/>
    <w:rsid w:val="008B298B"/>
    <w:rsid w:val="008F49D4"/>
    <w:rsid w:val="00912354"/>
    <w:rsid w:val="00914055"/>
    <w:rsid w:val="0091763A"/>
    <w:rsid w:val="009320A0"/>
    <w:rsid w:val="009342A6"/>
    <w:rsid w:val="009B1132"/>
    <w:rsid w:val="009B423D"/>
    <w:rsid w:val="00A43AC3"/>
    <w:rsid w:val="00A65B68"/>
    <w:rsid w:val="00A87C23"/>
    <w:rsid w:val="00AB27D5"/>
    <w:rsid w:val="00AC03BD"/>
    <w:rsid w:val="00AE71B9"/>
    <w:rsid w:val="00B231D7"/>
    <w:rsid w:val="00B34F9C"/>
    <w:rsid w:val="00B52C6B"/>
    <w:rsid w:val="00B6281C"/>
    <w:rsid w:val="00B850AC"/>
    <w:rsid w:val="00B86006"/>
    <w:rsid w:val="00BA327C"/>
    <w:rsid w:val="00BA51C0"/>
    <w:rsid w:val="00BC1FF5"/>
    <w:rsid w:val="00BE47F6"/>
    <w:rsid w:val="00C603AB"/>
    <w:rsid w:val="00C70850"/>
    <w:rsid w:val="00CA3775"/>
    <w:rsid w:val="00CC3BEE"/>
    <w:rsid w:val="00CF7739"/>
    <w:rsid w:val="00D0259C"/>
    <w:rsid w:val="00D16F4C"/>
    <w:rsid w:val="00D27BE9"/>
    <w:rsid w:val="00D37A58"/>
    <w:rsid w:val="00D504D1"/>
    <w:rsid w:val="00D7401E"/>
    <w:rsid w:val="00DD17C5"/>
    <w:rsid w:val="00E06301"/>
    <w:rsid w:val="00E313F8"/>
    <w:rsid w:val="00E547EA"/>
    <w:rsid w:val="00E67769"/>
    <w:rsid w:val="00E810E1"/>
    <w:rsid w:val="00EB1CE2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E611288"/>
  <w15:docId w15:val="{EA2F7B90-165F-4620-8D62-467C493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2016-09-27T19:47:00Z</cp:lastPrinted>
  <dcterms:created xsi:type="dcterms:W3CDTF">2024-06-26T17:07:00Z</dcterms:created>
  <dcterms:modified xsi:type="dcterms:W3CDTF">2024-06-27T14:10:00Z</dcterms:modified>
</cp:coreProperties>
</file>