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14262" w14:textId="77777777" w:rsidR="00E33537" w:rsidRPr="00E33537" w:rsidRDefault="00E33537" w:rsidP="00E33537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E33537">
        <w:rPr>
          <w:rFonts w:ascii="Avenir" w:eastAsia="PMingLiU" w:hAnsi="Avenir"/>
          <w:b/>
          <w:bCs/>
          <w:caps/>
          <w:sz w:val="24"/>
          <w:szCs w:val="28"/>
        </w:rPr>
        <w:t>POLICY</w:t>
      </w:r>
    </w:p>
    <w:p w14:paraId="3A6C6219" w14:textId="77777777" w:rsidR="001355EB" w:rsidRDefault="001355EB" w:rsidP="00E33537">
      <w:pPr>
        <w:spacing w:after="0" w:line="240" w:lineRule="auto"/>
        <w:rPr>
          <w:rFonts w:ascii="Georgia" w:eastAsia="Times New Roman" w:hAnsi="Georgia" w:cs="Arial"/>
          <w:szCs w:val="20"/>
        </w:rPr>
      </w:pPr>
    </w:p>
    <w:p w14:paraId="6AFC3145" w14:textId="77777777" w:rsidR="00E33537" w:rsidRPr="00E33537" w:rsidRDefault="00E33537" w:rsidP="00E33537">
      <w:pPr>
        <w:spacing w:after="0" w:line="240" w:lineRule="auto"/>
        <w:rPr>
          <w:rFonts w:ascii="Georgia" w:eastAsia="Times New Roman" w:hAnsi="Georgia" w:cs="Arial"/>
          <w:szCs w:val="20"/>
        </w:rPr>
      </w:pPr>
      <w:r>
        <w:rPr>
          <w:rFonts w:ascii="Georgia" w:eastAsia="Times New Roman" w:hAnsi="Georgia" w:cs="Arial"/>
          <w:szCs w:val="20"/>
        </w:rPr>
        <w:t>Ohio Living home health and h</w:t>
      </w:r>
      <w:r w:rsidRPr="00E33537">
        <w:rPr>
          <w:rFonts w:ascii="Georgia" w:eastAsia="Times New Roman" w:hAnsi="Georgia" w:cs="Arial"/>
          <w:szCs w:val="20"/>
        </w:rPr>
        <w:t>ospice promotes the health and wellbeing of employees and patients through education, current application of infection control practices and implementation of appropriate safety measures.</w:t>
      </w:r>
      <w:r w:rsidR="00202ECA">
        <w:rPr>
          <w:rFonts w:ascii="Georgia" w:eastAsia="Times New Roman" w:hAnsi="Georgia" w:cs="Arial"/>
          <w:szCs w:val="20"/>
        </w:rPr>
        <w:t xml:space="preserve"> </w:t>
      </w:r>
    </w:p>
    <w:p w14:paraId="67FB1C40" w14:textId="77777777" w:rsidR="00CB5CE9" w:rsidRDefault="00CB5CE9" w:rsidP="00E33537">
      <w:pPr>
        <w:spacing w:after="0" w:line="240" w:lineRule="auto"/>
      </w:pPr>
    </w:p>
    <w:p w14:paraId="2777AA94" w14:textId="77777777" w:rsidR="00126981" w:rsidRPr="00E33537" w:rsidRDefault="00126981" w:rsidP="00E33537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E33537">
        <w:rPr>
          <w:rFonts w:ascii="Avenir" w:eastAsia="PMingLiU" w:hAnsi="Avenir"/>
          <w:b/>
          <w:bCs/>
          <w:caps/>
          <w:sz w:val="24"/>
          <w:szCs w:val="28"/>
        </w:rPr>
        <w:t>PROCEDURE</w:t>
      </w:r>
    </w:p>
    <w:p w14:paraId="34D7B5C0" w14:textId="77777777" w:rsidR="00E03C75" w:rsidRDefault="00E03C75" w:rsidP="00E03C75">
      <w:pPr>
        <w:pStyle w:val="ListParagraph"/>
        <w:spacing w:after="0" w:line="240" w:lineRule="auto"/>
        <w:ind w:left="1800"/>
        <w:rPr>
          <w:rFonts w:ascii="Georgia" w:hAnsi="Georgia"/>
        </w:rPr>
      </w:pPr>
    </w:p>
    <w:p w14:paraId="52645340" w14:textId="77777777" w:rsidR="00E03C75" w:rsidRPr="00E03C75" w:rsidRDefault="00E03C75" w:rsidP="00E03C75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</w:rPr>
      </w:pPr>
      <w:r w:rsidRPr="00E03C75">
        <w:rPr>
          <w:rFonts w:ascii="Georgia" w:hAnsi="Georgia" w:cs="ArialMT"/>
        </w:rPr>
        <w:t xml:space="preserve">An assessment will be done of the need for biomedical waste education related to the </w:t>
      </w:r>
      <w:r w:rsidR="00955E7B" w:rsidRPr="00E03C75">
        <w:rPr>
          <w:rFonts w:ascii="Georgia" w:hAnsi="Georgia" w:cs="ArialMT"/>
        </w:rPr>
        <w:t>identification, handling, and disposal of hazardous materials and wastes.</w:t>
      </w:r>
      <w:r>
        <w:rPr>
          <w:rFonts w:ascii="Georgia" w:hAnsi="Georgia" w:cs="ArialMT"/>
        </w:rPr>
        <w:t xml:space="preserve"> This includes, but not limited to:</w:t>
      </w:r>
    </w:p>
    <w:p w14:paraId="6DDAA98B" w14:textId="77777777" w:rsidR="00E03C75" w:rsidRPr="00E03C75" w:rsidRDefault="00955E7B" w:rsidP="001355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 w:rsidRPr="00E03C75">
        <w:rPr>
          <w:rFonts w:ascii="Georgia" w:hAnsi="Georgia" w:cs="ArialMT"/>
        </w:rPr>
        <w:t>The potential need for and use of puncture-resistant needle containers</w:t>
      </w:r>
    </w:p>
    <w:p w14:paraId="78A73DE4" w14:textId="77777777" w:rsidR="00E03C75" w:rsidRPr="00E03C75" w:rsidRDefault="00955E7B" w:rsidP="001355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 w:rsidRPr="00E03C75">
        <w:rPr>
          <w:rFonts w:ascii="Georgia" w:hAnsi="Georgia" w:cs="ArialMT"/>
        </w:rPr>
        <w:t>The potential need for and use of bags for soiled dressing/linens</w:t>
      </w:r>
    </w:p>
    <w:p w14:paraId="42FE5288" w14:textId="77777777" w:rsidR="00E03C75" w:rsidRPr="00E03C75" w:rsidRDefault="00955E7B" w:rsidP="001355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 w:rsidRPr="00E03C75">
        <w:rPr>
          <w:rFonts w:ascii="Georgia" w:hAnsi="Georgia" w:cs="ArialMT"/>
        </w:rPr>
        <w:t>The potential need for and use of gloves and protective clothing</w:t>
      </w:r>
    </w:p>
    <w:p w14:paraId="31B10B3E" w14:textId="77777777" w:rsidR="00E03C75" w:rsidRPr="00E03C75" w:rsidRDefault="00955E7B" w:rsidP="001355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 w:rsidRPr="00E03C75">
        <w:rPr>
          <w:rFonts w:ascii="Georgia" w:hAnsi="Georgia" w:cs="ArialMT"/>
        </w:rPr>
        <w:t>The assessment will include the appropriate actions for both the clinician as well as the</w:t>
      </w:r>
      <w:r w:rsidR="00E03C75">
        <w:rPr>
          <w:rFonts w:ascii="Georgia" w:hAnsi="Georgia" w:cs="ArialMT"/>
        </w:rPr>
        <w:t xml:space="preserve"> </w:t>
      </w:r>
      <w:r w:rsidRPr="00E03C75">
        <w:rPr>
          <w:rFonts w:ascii="Georgia" w:hAnsi="Georgia" w:cs="ArialMT"/>
        </w:rPr>
        <w:t>patient and family/caregiver while receiving services.</w:t>
      </w:r>
    </w:p>
    <w:p w14:paraId="70090936" w14:textId="77777777" w:rsidR="00955E7B" w:rsidRPr="001342B5" w:rsidRDefault="00955E7B" w:rsidP="001355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 w:rsidRPr="00E03C75">
        <w:rPr>
          <w:rFonts w:ascii="Georgia" w:hAnsi="Georgia" w:cs="ArialMT"/>
        </w:rPr>
        <w:t>Each patient who has the potential for handling and disposing of hazardous materials will</w:t>
      </w:r>
      <w:r w:rsidR="00E03C75">
        <w:rPr>
          <w:rFonts w:ascii="Georgia" w:hAnsi="Georgia" w:cs="ArialMT"/>
        </w:rPr>
        <w:t xml:space="preserve"> </w:t>
      </w:r>
      <w:r w:rsidRPr="00E03C75">
        <w:rPr>
          <w:rFonts w:ascii="Georgia" w:hAnsi="Georgia" w:cs="ArialMT"/>
        </w:rPr>
        <w:t>receive information on bloodborne pathogens standards, as well as the home</w:t>
      </w:r>
      <w:r w:rsidR="00E03C75">
        <w:rPr>
          <w:rFonts w:ascii="Georgia" w:hAnsi="Georgia" w:cs="ArialMT"/>
        </w:rPr>
        <w:t xml:space="preserve"> </w:t>
      </w:r>
      <w:r w:rsidRPr="00E03C75">
        <w:rPr>
          <w:rFonts w:ascii="Georgia" w:hAnsi="Georgia" w:cs="ArialMT"/>
        </w:rPr>
        <w:t>safety information that addresses hazardous waste</w:t>
      </w:r>
      <w:r w:rsidR="00E03C75" w:rsidRPr="00E03C75">
        <w:rPr>
          <w:rFonts w:ascii="Georgia" w:hAnsi="Georgia" w:cs="ArialMT"/>
        </w:rPr>
        <w:t xml:space="preserve"> as appropriate</w:t>
      </w:r>
      <w:r w:rsidRPr="00E03C75">
        <w:rPr>
          <w:rFonts w:ascii="Georgia" w:hAnsi="Georgia" w:cs="ArialMT"/>
        </w:rPr>
        <w:t>.</w:t>
      </w:r>
    </w:p>
    <w:p w14:paraId="25B34598" w14:textId="77777777" w:rsidR="00E03C75" w:rsidRDefault="00E03C75" w:rsidP="00E03C75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Environmental cleaning supplies will be handled and stored according to the manufacturer’s recommendations. </w:t>
      </w:r>
    </w:p>
    <w:p w14:paraId="69819E20" w14:textId="77777777" w:rsidR="00752DA0" w:rsidRDefault="00AE3810" w:rsidP="00752DA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Ohio Living staff will report malfunctioning equipment to the medical equipment supplier if leased. If patient/caregiver owns the malfunctioning equipment, the staff will render the equipment unusable and assist the patient/caregiver to obtain proper functioning replacement equipment. </w:t>
      </w:r>
    </w:p>
    <w:p w14:paraId="2C9C1D86" w14:textId="77777777" w:rsidR="00752DA0" w:rsidRPr="00752DA0" w:rsidRDefault="00752DA0" w:rsidP="00752DA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</w:rPr>
      </w:pPr>
      <w:r w:rsidRPr="00752DA0">
        <w:rPr>
          <w:rFonts w:ascii="Georgia" w:eastAsia="Times New Roman" w:hAnsi="Georgia"/>
          <w:szCs w:val="20"/>
        </w:rPr>
        <w:t xml:space="preserve">During the initial home visit, the admitting clinician/technician will conduct a home safety check, which includes an </w:t>
      </w:r>
      <w:r>
        <w:rPr>
          <w:rFonts w:ascii="Georgia" w:eastAsia="Times New Roman" w:hAnsi="Georgia"/>
          <w:szCs w:val="20"/>
        </w:rPr>
        <w:t>evaluation</w:t>
      </w:r>
      <w:r w:rsidRPr="00752DA0">
        <w:rPr>
          <w:rFonts w:ascii="Georgia" w:eastAsia="Times New Roman" w:hAnsi="Georgia"/>
          <w:szCs w:val="20"/>
        </w:rPr>
        <w:t xml:space="preserve"> of utility safety.</w:t>
      </w:r>
      <w:r>
        <w:rPr>
          <w:rFonts w:ascii="Georgia" w:eastAsia="Times New Roman" w:hAnsi="Georgia"/>
          <w:szCs w:val="20"/>
        </w:rPr>
        <w:t xml:space="preserve"> T</w:t>
      </w:r>
      <w:r w:rsidRPr="00752DA0">
        <w:rPr>
          <w:rFonts w:ascii="Georgia" w:eastAsia="Times New Roman" w:hAnsi="Georgia"/>
          <w:szCs w:val="20"/>
        </w:rPr>
        <w:t xml:space="preserve">he </w:t>
      </w:r>
      <w:r>
        <w:rPr>
          <w:rFonts w:ascii="Georgia" w:eastAsia="Times New Roman" w:hAnsi="Georgia"/>
          <w:szCs w:val="20"/>
        </w:rPr>
        <w:t>evaluation</w:t>
      </w:r>
      <w:r w:rsidRPr="00752DA0">
        <w:rPr>
          <w:rFonts w:ascii="Georgia" w:eastAsia="Times New Roman" w:hAnsi="Georgia"/>
          <w:szCs w:val="20"/>
        </w:rPr>
        <w:t xml:space="preserve"> </w:t>
      </w:r>
      <w:r w:rsidR="00F55159">
        <w:rPr>
          <w:rFonts w:ascii="Georgia" w:eastAsia="Times New Roman" w:hAnsi="Georgia"/>
          <w:szCs w:val="20"/>
        </w:rPr>
        <w:t xml:space="preserve">should </w:t>
      </w:r>
      <w:r w:rsidRPr="00752DA0">
        <w:rPr>
          <w:rFonts w:ascii="Georgia" w:eastAsia="Times New Roman" w:hAnsi="Georgia"/>
          <w:szCs w:val="20"/>
        </w:rPr>
        <w:t>include, but will not be limited to:</w:t>
      </w:r>
    </w:p>
    <w:p w14:paraId="7C2566BB" w14:textId="77777777" w:rsidR="00752DA0" w:rsidRPr="00752DA0" w:rsidRDefault="00752DA0" w:rsidP="001355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 w:rsidRPr="00752DA0">
        <w:rPr>
          <w:rFonts w:ascii="Georgia" w:eastAsia="Times New Roman" w:hAnsi="Georgia"/>
          <w:szCs w:val="20"/>
        </w:rPr>
        <w:t xml:space="preserve">Placement of electrical cords </w:t>
      </w:r>
    </w:p>
    <w:p w14:paraId="41E317F5" w14:textId="77777777" w:rsidR="00752DA0" w:rsidRPr="00752DA0" w:rsidRDefault="00752DA0" w:rsidP="001355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 w:rsidRPr="00752DA0">
        <w:rPr>
          <w:rFonts w:ascii="Georgia" w:eastAsia="Times New Roman" w:hAnsi="Georgia"/>
          <w:szCs w:val="20"/>
        </w:rPr>
        <w:t>Condition</w:t>
      </w:r>
      <w:r w:rsidRPr="00752DA0">
        <w:rPr>
          <w:rFonts w:ascii="Georgia" w:eastAsia="Times New Roman" w:hAnsi="Georgia" w:cs="Arial"/>
          <w:szCs w:val="20"/>
        </w:rPr>
        <w:t xml:space="preserve"> of electrical cords/outlets </w:t>
      </w:r>
    </w:p>
    <w:p w14:paraId="401AEDF1" w14:textId="77777777" w:rsidR="00752DA0" w:rsidRPr="00752DA0" w:rsidRDefault="00752DA0" w:rsidP="001355EB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 w:rsidRPr="00752DA0">
        <w:rPr>
          <w:rFonts w:ascii="Georgia" w:eastAsia="Times New Roman" w:hAnsi="Georgia" w:cs="Arial"/>
          <w:szCs w:val="20"/>
        </w:rPr>
        <w:t xml:space="preserve">Use </w:t>
      </w:r>
      <w:r w:rsidRPr="00752DA0">
        <w:rPr>
          <w:rFonts w:ascii="Georgia" w:eastAsia="Times New Roman" w:hAnsi="Georgia"/>
          <w:szCs w:val="20"/>
        </w:rPr>
        <w:t>of</w:t>
      </w:r>
      <w:r w:rsidRPr="00752DA0">
        <w:rPr>
          <w:rFonts w:ascii="Georgia" w:eastAsia="Times New Roman" w:hAnsi="Georgia" w:cs="Arial"/>
          <w:szCs w:val="20"/>
        </w:rPr>
        <w:t xml:space="preserve"> extension cords </w:t>
      </w:r>
    </w:p>
    <w:p w14:paraId="48F1C668" w14:textId="6AB1B8A7" w:rsidR="00752DA0" w:rsidRPr="00055F5A" w:rsidRDefault="00752DA0" w:rsidP="00055F5A">
      <w:pPr>
        <w:spacing w:after="0" w:line="240" w:lineRule="auto"/>
        <w:ind w:left="360"/>
        <w:rPr>
          <w:rFonts w:ascii="Georgia" w:hAnsi="Georgia"/>
        </w:rPr>
      </w:pPr>
    </w:p>
    <w:p w14:paraId="7E555C7E" w14:textId="77777777" w:rsidR="00AE3810" w:rsidRPr="00752DA0" w:rsidRDefault="00752DA0" w:rsidP="006A57D4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 w:rsidRPr="00752DA0">
        <w:rPr>
          <w:rFonts w:ascii="Georgia" w:eastAsia="Times New Roman" w:hAnsi="Georgia"/>
          <w:szCs w:val="24"/>
        </w:rPr>
        <w:lastRenderedPageBreak/>
        <w:t>Based on the assessment, prevention tips and suggestions will be made to reduce the risk of problems and potential hazards in the home</w:t>
      </w:r>
    </w:p>
    <w:p w14:paraId="2BCA5060" w14:textId="77777777" w:rsidR="00752DA0" w:rsidRPr="001342B5" w:rsidRDefault="00752DA0" w:rsidP="00752DA0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</w:rPr>
      </w:pPr>
      <w:r w:rsidRPr="00752DA0">
        <w:rPr>
          <w:rFonts w:ascii="Georgia" w:hAnsi="Georgia" w:cs="Arial"/>
          <w:szCs w:val="20"/>
        </w:rPr>
        <w:t xml:space="preserve">Safety precaution teaching is provided to patients/families as appropriate, including handling, access and storage of medical gases. </w:t>
      </w:r>
    </w:p>
    <w:p w14:paraId="0B7A3D6F" w14:textId="77777777" w:rsidR="001342B5" w:rsidRDefault="001342B5" w:rsidP="001342B5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/>
        </w:rPr>
      </w:pPr>
      <w:r w:rsidRPr="00E33537">
        <w:rPr>
          <w:rFonts w:ascii="Georgia" w:hAnsi="Georgia"/>
        </w:rPr>
        <w:t>Ohio Living home health and hospice’s safety program</w:t>
      </w:r>
      <w:r>
        <w:rPr>
          <w:rFonts w:ascii="Georgia" w:hAnsi="Georgia"/>
        </w:rPr>
        <w:t xml:space="preserve"> also</w:t>
      </w:r>
      <w:r w:rsidRPr="00E33537">
        <w:rPr>
          <w:rFonts w:ascii="Georgia" w:hAnsi="Georgia"/>
        </w:rPr>
        <w:t xml:space="preserve"> includes</w:t>
      </w:r>
      <w:r>
        <w:rPr>
          <w:rFonts w:ascii="Georgia" w:hAnsi="Georgia"/>
        </w:rPr>
        <w:t>:</w:t>
      </w:r>
    </w:p>
    <w:p w14:paraId="6B937488" w14:textId="77777777" w:rsidR="001342B5" w:rsidRDefault="001342B5" w:rsidP="006A57D4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>
        <w:rPr>
          <w:rFonts w:ascii="Georgia" w:hAnsi="Georgia"/>
        </w:rPr>
        <w:t>Cleaning schedules for equipment and work surfaces</w:t>
      </w:r>
    </w:p>
    <w:p w14:paraId="12EA81DD" w14:textId="77777777" w:rsidR="001342B5" w:rsidRDefault="001342B5" w:rsidP="006A57D4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>
        <w:rPr>
          <w:rFonts w:ascii="Georgia" w:hAnsi="Georgia"/>
        </w:rPr>
        <w:t>Education on handling, access and storage of medical gases</w:t>
      </w:r>
    </w:p>
    <w:p w14:paraId="4984C9E2" w14:textId="77777777" w:rsidR="001342B5" w:rsidRDefault="001342B5" w:rsidP="006A57D4">
      <w:pPr>
        <w:pStyle w:val="ListParagraph"/>
        <w:numPr>
          <w:ilvl w:val="1"/>
          <w:numId w:val="5"/>
        </w:numPr>
        <w:spacing w:after="0" w:line="240" w:lineRule="auto"/>
        <w:ind w:left="720"/>
        <w:rPr>
          <w:rFonts w:ascii="Georgia" w:hAnsi="Georgia"/>
        </w:rPr>
      </w:pPr>
      <w:r>
        <w:rPr>
          <w:rFonts w:ascii="Georgia" w:hAnsi="Georgia"/>
        </w:rPr>
        <w:t>Identifying potential hazards and risks through analysis of, but not limited to:</w:t>
      </w:r>
    </w:p>
    <w:p w14:paraId="0641D1B3" w14:textId="77777777" w:rsidR="001342B5" w:rsidRDefault="001342B5" w:rsidP="00055F5A">
      <w:pPr>
        <w:pStyle w:val="ListParagraph"/>
        <w:numPr>
          <w:ilvl w:val="2"/>
          <w:numId w:val="5"/>
        </w:numPr>
        <w:spacing w:after="0" w:line="240" w:lineRule="auto"/>
        <w:ind w:left="1440" w:hanging="360"/>
        <w:rPr>
          <w:rFonts w:ascii="Georgia" w:hAnsi="Georgia"/>
        </w:rPr>
      </w:pPr>
      <w:r>
        <w:rPr>
          <w:rFonts w:ascii="Georgia" w:hAnsi="Georgia"/>
        </w:rPr>
        <w:t xml:space="preserve">Verbal and written incident reports  </w:t>
      </w:r>
    </w:p>
    <w:p w14:paraId="26167767" w14:textId="77777777" w:rsidR="001342B5" w:rsidRDefault="001342B5" w:rsidP="00055F5A">
      <w:pPr>
        <w:pStyle w:val="ListParagraph"/>
        <w:numPr>
          <w:ilvl w:val="2"/>
          <w:numId w:val="5"/>
        </w:numPr>
        <w:spacing w:after="0" w:line="240" w:lineRule="auto"/>
        <w:ind w:left="1440" w:hanging="360"/>
        <w:rPr>
          <w:rFonts w:ascii="Georgia" w:hAnsi="Georgia"/>
        </w:rPr>
      </w:pPr>
      <w:r>
        <w:rPr>
          <w:rFonts w:ascii="Georgia" w:hAnsi="Georgia"/>
        </w:rPr>
        <w:t>Hotline calls</w:t>
      </w:r>
    </w:p>
    <w:p w14:paraId="46EF66CF" w14:textId="77777777" w:rsidR="001342B5" w:rsidRDefault="001342B5" w:rsidP="00055F5A">
      <w:pPr>
        <w:pStyle w:val="ListParagraph"/>
        <w:numPr>
          <w:ilvl w:val="2"/>
          <w:numId w:val="5"/>
        </w:numPr>
        <w:spacing w:after="0" w:line="240" w:lineRule="auto"/>
        <w:ind w:left="1440" w:hanging="360"/>
        <w:rPr>
          <w:rFonts w:ascii="Georgia" w:hAnsi="Georgia"/>
        </w:rPr>
      </w:pPr>
      <w:r>
        <w:rPr>
          <w:rFonts w:ascii="Georgia" w:hAnsi="Georgia"/>
        </w:rPr>
        <w:t>Alleged grievances/complaints</w:t>
      </w:r>
    </w:p>
    <w:p w14:paraId="6947FC79" w14:textId="77777777" w:rsidR="001342B5" w:rsidRDefault="001342B5" w:rsidP="00055F5A">
      <w:pPr>
        <w:pStyle w:val="ListParagraph"/>
        <w:numPr>
          <w:ilvl w:val="2"/>
          <w:numId w:val="5"/>
        </w:numPr>
        <w:spacing w:after="0" w:line="240" w:lineRule="auto"/>
        <w:ind w:left="1440" w:hanging="360"/>
        <w:rPr>
          <w:rFonts w:ascii="Georgia" w:hAnsi="Georgia"/>
        </w:rPr>
      </w:pPr>
      <w:r>
        <w:rPr>
          <w:rFonts w:ascii="Georgia" w:hAnsi="Georgia"/>
        </w:rPr>
        <w:t>Internal survei</w:t>
      </w:r>
      <w:bookmarkStart w:id="0" w:name="_GoBack"/>
      <w:bookmarkEnd w:id="0"/>
      <w:r>
        <w:rPr>
          <w:rFonts w:ascii="Georgia" w:hAnsi="Georgia"/>
        </w:rPr>
        <w:t xml:space="preserve">llance </w:t>
      </w:r>
    </w:p>
    <w:p w14:paraId="09AD8FAB" w14:textId="77777777" w:rsidR="00202ECA" w:rsidRPr="00202ECA" w:rsidRDefault="00202ECA" w:rsidP="00202ECA">
      <w:pPr>
        <w:spacing w:after="0" w:line="240" w:lineRule="auto"/>
        <w:rPr>
          <w:rFonts w:ascii="Georgia" w:hAnsi="Georgia"/>
        </w:rPr>
      </w:pPr>
    </w:p>
    <w:sectPr w:rsidR="00202ECA" w:rsidRPr="00202ECA" w:rsidSect="006A57D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5EE0B" w14:textId="77777777" w:rsidR="00623FBB" w:rsidRDefault="00623FBB" w:rsidP="00004886">
      <w:pPr>
        <w:spacing w:after="0" w:line="240" w:lineRule="auto"/>
      </w:pPr>
      <w:r>
        <w:separator/>
      </w:r>
    </w:p>
  </w:endnote>
  <w:endnote w:type="continuationSeparator" w:id="0">
    <w:p w14:paraId="0D823212" w14:textId="77777777" w:rsidR="00623FBB" w:rsidRDefault="00623FB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1005476626"/>
      <w:docPartObj>
        <w:docPartGallery w:val="Page Numbers (Top of Page)"/>
        <w:docPartUnique/>
      </w:docPartObj>
    </w:sdtPr>
    <w:sdtEndPr/>
    <w:sdtContent>
      <w:p w14:paraId="32BAA64E" w14:textId="77777777" w:rsidR="006A57D4" w:rsidRPr="006A57D4" w:rsidRDefault="006A57D4" w:rsidP="006A57D4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E6C77E0" w14:textId="77777777" w:rsidR="00757077" w:rsidRPr="001355EB" w:rsidRDefault="003A605C" w:rsidP="001355EB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D4133" w14:textId="77777777" w:rsidR="00623FBB" w:rsidRDefault="00623FBB" w:rsidP="00004886">
      <w:pPr>
        <w:spacing w:after="0" w:line="240" w:lineRule="auto"/>
      </w:pPr>
      <w:r>
        <w:separator/>
      </w:r>
    </w:p>
  </w:footnote>
  <w:footnote w:type="continuationSeparator" w:id="0">
    <w:p w14:paraId="701927DF" w14:textId="77777777" w:rsidR="00623FBB" w:rsidRDefault="00623FB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5A134" w14:textId="77777777" w:rsidR="003A605C" w:rsidRDefault="00752DA0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1A00E" wp14:editId="05762F07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2120D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51A0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Ft0+p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14:paraId="16F2120D" w14:textId="77777777"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21F6CF6D" wp14:editId="14803EB3">
          <wp:extent cx="2125229" cy="548640"/>
          <wp:effectExtent l="19050" t="0" r="8371" b="0"/>
          <wp:docPr id="2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1"/>
      <w:gridCol w:w="3115"/>
      <w:gridCol w:w="3114"/>
    </w:tblGrid>
    <w:tr w:rsidR="001355EB" w:rsidRPr="00004886" w14:paraId="38DF7226" w14:textId="77777777" w:rsidTr="001355E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5E62328" w14:textId="77777777" w:rsidR="001355EB" w:rsidRPr="0091763A" w:rsidRDefault="001355EB" w:rsidP="001355E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1355EB" w:rsidRPr="00004886" w14:paraId="5DD0F01B" w14:textId="77777777" w:rsidTr="001355EB">
      <w:trPr>
        <w:trHeight w:val="432"/>
      </w:trPr>
      <w:tc>
        <w:tcPr>
          <w:tcW w:w="9350" w:type="dxa"/>
          <w:gridSpan w:val="3"/>
          <w:vAlign w:val="center"/>
        </w:tcPr>
        <w:p w14:paraId="6F2AF39E" w14:textId="77777777" w:rsidR="001355EB" w:rsidRPr="00383057" w:rsidRDefault="001355EB" w:rsidP="001355E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Safety Program</w:t>
          </w:r>
        </w:p>
      </w:tc>
    </w:tr>
    <w:tr w:rsidR="00017F74" w:rsidRPr="00004886" w14:paraId="102FCC91" w14:textId="77777777" w:rsidTr="001355EB">
      <w:tc>
        <w:tcPr>
          <w:tcW w:w="3121" w:type="dxa"/>
          <w:shd w:val="clear" w:color="auto" w:fill="D9D9D9" w:themeFill="background1" w:themeFillShade="D9"/>
        </w:tcPr>
        <w:p w14:paraId="3398117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5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BE25A3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65ABF05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084B31B4" w14:textId="77777777" w:rsidTr="001355EB">
      <w:tc>
        <w:tcPr>
          <w:tcW w:w="3121" w:type="dxa"/>
        </w:tcPr>
        <w:p w14:paraId="14C7886E" w14:textId="77777777" w:rsidR="00017F74" w:rsidRPr="00383057" w:rsidRDefault="00126981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5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45C9AED0" w14:textId="78FAFB3A" w:rsidR="00017F74" w:rsidRPr="00383057" w:rsidRDefault="00055F5A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05/24/2024</w:t>
          </w:r>
        </w:p>
      </w:tc>
      <w:tc>
        <w:tcPr>
          <w:tcW w:w="3114" w:type="dxa"/>
        </w:tcPr>
        <w:p w14:paraId="65444D02" w14:textId="22996AB4" w:rsidR="00017F74" w:rsidRPr="00383057" w:rsidRDefault="00055F5A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05/24/2026</w:t>
          </w:r>
        </w:p>
      </w:tc>
    </w:tr>
    <w:tr w:rsidR="001355EB" w:rsidRPr="00004886" w14:paraId="6FDD7C42" w14:textId="77777777" w:rsidTr="001355E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7BE700D" w14:textId="77777777" w:rsidR="001355EB" w:rsidRPr="0091763A" w:rsidRDefault="001355EB" w:rsidP="001355E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1355EB" w:rsidRPr="00004886" w14:paraId="36080286" w14:textId="77777777" w:rsidTr="001355EB">
      <w:trPr>
        <w:trHeight w:val="576"/>
      </w:trPr>
      <w:tc>
        <w:tcPr>
          <w:tcW w:w="9350" w:type="dxa"/>
          <w:gridSpan w:val="3"/>
          <w:vAlign w:val="center"/>
        </w:tcPr>
        <w:p w14:paraId="1EF4F281" w14:textId="77777777" w:rsidR="001355EB" w:rsidRPr="00383057" w:rsidRDefault="001355EB" w:rsidP="001355E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2D4E6691" w14:textId="77777777" w:rsidTr="001355EB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C55A95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256AC04D" w14:textId="77777777" w:rsidTr="001355EB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3C19B2C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0B60113C" w14:textId="77777777" w:rsidR="00017F74" w:rsidRDefault="00017F74" w:rsidP="00395947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5D43C7"/>
    <w:multiLevelType w:val="hybridMultilevel"/>
    <w:tmpl w:val="CF4E8968"/>
    <w:lvl w:ilvl="0" w:tplc="53B48C98">
      <w:start w:val="1"/>
      <w:numFmt w:val="decimal"/>
      <w:lvlText w:val="%1.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1" w:tplc="D7F8CE3A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343BBD"/>
    <w:multiLevelType w:val="hybridMultilevel"/>
    <w:tmpl w:val="1D14F0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B36B89"/>
    <w:multiLevelType w:val="hybridMultilevel"/>
    <w:tmpl w:val="78969DD6"/>
    <w:lvl w:ilvl="0" w:tplc="FFFFFFF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6" w15:restartNumberingAfterBreak="0">
    <w:nsid w:val="6E8E1570"/>
    <w:multiLevelType w:val="hybridMultilevel"/>
    <w:tmpl w:val="91644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82E06BA4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58F0"/>
    <w:rsid w:val="00017F74"/>
    <w:rsid w:val="00055F5A"/>
    <w:rsid w:val="00070BDF"/>
    <w:rsid w:val="000E0733"/>
    <w:rsid w:val="00126981"/>
    <w:rsid w:val="001342B5"/>
    <w:rsid w:val="001355EB"/>
    <w:rsid w:val="00202ECA"/>
    <w:rsid w:val="002174C0"/>
    <w:rsid w:val="00225898"/>
    <w:rsid w:val="00366B62"/>
    <w:rsid w:val="00383057"/>
    <w:rsid w:val="00395947"/>
    <w:rsid w:val="003A2C80"/>
    <w:rsid w:val="003A605C"/>
    <w:rsid w:val="003C1CA8"/>
    <w:rsid w:val="004039FB"/>
    <w:rsid w:val="00496194"/>
    <w:rsid w:val="004B00A2"/>
    <w:rsid w:val="004F7E1E"/>
    <w:rsid w:val="005E4C5D"/>
    <w:rsid w:val="00623FBB"/>
    <w:rsid w:val="006318B2"/>
    <w:rsid w:val="00636251"/>
    <w:rsid w:val="0064513A"/>
    <w:rsid w:val="006772EC"/>
    <w:rsid w:val="006A57D4"/>
    <w:rsid w:val="00721119"/>
    <w:rsid w:val="00744C01"/>
    <w:rsid w:val="00752DA0"/>
    <w:rsid w:val="00757077"/>
    <w:rsid w:val="007D240F"/>
    <w:rsid w:val="00806F6F"/>
    <w:rsid w:val="00824B71"/>
    <w:rsid w:val="00857EA6"/>
    <w:rsid w:val="008C46B8"/>
    <w:rsid w:val="008F49D4"/>
    <w:rsid w:val="00906EC7"/>
    <w:rsid w:val="00914055"/>
    <w:rsid w:val="0091763A"/>
    <w:rsid w:val="009342A6"/>
    <w:rsid w:val="00955E7B"/>
    <w:rsid w:val="00A91BAF"/>
    <w:rsid w:val="00AA4F8A"/>
    <w:rsid w:val="00AC317F"/>
    <w:rsid w:val="00AE3810"/>
    <w:rsid w:val="00AF7CAE"/>
    <w:rsid w:val="00BA51C0"/>
    <w:rsid w:val="00C70850"/>
    <w:rsid w:val="00CB5CE9"/>
    <w:rsid w:val="00DD17C5"/>
    <w:rsid w:val="00E03C75"/>
    <w:rsid w:val="00E03ED1"/>
    <w:rsid w:val="00E33537"/>
    <w:rsid w:val="00E547EA"/>
    <w:rsid w:val="00E810E1"/>
    <w:rsid w:val="00F107CD"/>
    <w:rsid w:val="00F53FEA"/>
    <w:rsid w:val="00F55159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16AC53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paragraph" w:customStyle="1" w:styleId="Style1">
    <w:name w:val="Style1"/>
    <w:basedOn w:val="Normal"/>
    <w:next w:val="BlockText"/>
    <w:rsid w:val="00752DA0"/>
    <w:pPr>
      <w:spacing w:after="0" w:line="240" w:lineRule="auto"/>
    </w:pPr>
    <w:rPr>
      <w:rFonts w:ascii="Arial" w:eastAsia="Times New Roman" w:hAnsi="Arial"/>
      <w:szCs w:val="24"/>
    </w:rPr>
  </w:style>
  <w:style w:type="paragraph" w:styleId="BlockText">
    <w:name w:val="Block Text"/>
    <w:basedOn w:val="Normal"/>
    <w:uiPriority w:val="99"/>
    <w:semiHidden/>
    <w:unhideWhenUsed/>
    <w:rsid w:val="00752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6955">
                  <w:marLeft w:val="0"/>
                  <w:marRight w:val="0"/>
                  <w:marTop w:val="0"/>
                  <w:marBottom w:val="15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2024-06-04T14:26:00Z</dcterms:created>
  <dcterms:modified xsi:type="dcterms:W3CDTF">2024-06-04T14:27:00Z</dcterms:modified>
</cp:coreProperties>
</file>