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4F8F7" w14:textId="77777777" w:rsidR="006C1F75" w:rsidRPr="00A57E29" w:rsidRDefault="006C1F75" w:rsidP="00691155">
      <w:pPr>
        <w:widowControl w:val="0"/>
        <w:autoSpaceDE w:val="0"/>
        <w:autoSpaceDN w:val="0"/>
        <w:adjustRightInd w:val="0"/>
        <w:spacing w:after="100" w:line="360" w:lineRule="auto"/>
        <w:contextualSpacing/>
        <w:rPr>
          <w:rFonts w:ascii="Avenir" w:hAnsi="Avenir" w:cs="Arial"/>
          <w:b/>
          <w:bCs/>
        </w:rPr>
      </w:pPr>
      <w:r w:rsidRPr="00A57E29">
        <w:rPr>
          <w:rFonts w:ascii="Avenir" w:hAnsi="Avenir" w:cs="Arial"/>
          <w:b/>
          <w:bCs/>
        </w:rPr>
        <w:t>Basic Responsibility</w:t>
      </w:r>
    </w:p>
    <w:p w14:paraId="543FFD23" w14:textId="77777777" w:rsidR="006C1F75" w:rsidRPr="00A57E29" w:rsidRDefault="008D5940" w:rsidP="008D5940">
      <w:pPr>
        <w:widowControl w:val="0"/>
        <w:autoSpaceDE w:val="0"/>
        <w:autoSpaceDN w:val="0"/>
        <w:adjustRightInd w:val="0"/>
        <w:spacing w:after="100" w:line="240" w:lineRule="auto"/>
        <w:ind w:firstLine="360"/>
        <w:contextualSpacing/>
        <w:rPr>
          <w:rFonts w:ascii="Georgia" w:hAnsi="Georgia" w:cs="Arial"/>
        </w:rPr>
      </w:pPr>
      <w:r>
        <w:rPr>
          <w:rFonts w:ascii="Georgia" w:hAnsi="Georgia" w:cs="Arial"/>
        </w:rPr>
        <w:t>Licensed Nurse</w:t>
      </w:r>
    </w:p>
    <w:p w14:paraId="47F087E1" w14:textId="77777777" w:rsidR="00691155" w:rsidRDefault="00691155" w:rsidP="008D5940">
      <w:pPr>
        <w:pStyle w:val="Heading2"/>
        <w:spacing w:before="0" w:after="100" w:line="240" w:lineRule="auto"/>
        <w:contextualSpacing/>
        <w:rPr>
          <w:rFonts w:ascii="Avenir" w:hAnsi="Avenir"/>
          <w:color w:val="auto"/>
          <w:sz w:val="22"/>
          <w:szCs w:val="22"/>
        </w:rPr>
      </w:pPr>
      <w:bookmarkStart w:id="0" w:name="_GoBack"/>
      <w:bookmarkEnd w:id="0"/>
    </w:p>
    <w:p w14:paraId="480EED77" w14:textId="257D0333" w:rsidR="006C1F75" w:rsidRPr="00A57E29" w:rsidRDefault="006C1F75" w:rsidP="00691155">
      <w:pPr>
        <w:pStyle w:val="Heading2"/>
        <w:spacing w:before="0" w:after="100" w:line="360" w:lineRule="auto"/>
        <w:contextualSpacing/>
        <w:rPr>
          <w:rFonts w:ascii="Avenir" w:hAnsi="Avenir"/>
          <w:color w:val="auto"/>
          <w:sz w:val="22"/>
          <w:szCs w:val="22"/>
        </w:rPr>
      </w:pPr>
      <w:r w:rsidRPr="00A57E29">
        <w:rPr>
          <w:rFonts w:ascii="Avenir" w:hAnsi="Avenir"/>
          <w:color w:val="auto"/>
          <w:sz w:val="22"/>
          <w:szCs w:val="22"/>
        </w:rPr>
        <w:t>Purpose</w:t>
      </w:r>
    </w:p>
    <w:p w14:paraId="7FB8BBED" w14:textId="77777777" w:rsidR="008D5940" w:rsidRPr="008D5940" w:rsidRDefault="008D5940" w:rsidP="008D5940">
      <w:pPr>
        <w:pStyle w:val="Heading1"/>
        <w:numPr>
          <w:ilvl w:val="0"/>
          <w:numId w:val="14"/>
        </w:numPr>
        <w:spacing w:after="100"/>
        <w:contextualSpacing/>
        <w:rPr>
          <w:rFonts w:ascii="Georgia" w:hAnsi="Georgia" w:cs="Arial"/>
          <w:sz w:val="22"/>
        </w:rPr>
      </w:pPr>
      <w:r w:rsidRPr="008D5940">
        <w:rPr>
          <w:rFonts w:ascii="Georgia" w:hAnsi="Georgia" w:cs="Arial"/>
          <w:sz w:val="22"/>
        </w:rPr>
        <w:t>To monitor and assure that residents maintain acceptable nutritional parameters unless conditions exist that predetermine that a nutritional problem is unavoidable</w:t>
      </w:r>
    </w:p>
    <w:p w14:paraId="6D0E8129" w14:textId="77777777" w:rsidR="008D5940" w:rsidRPr="008D5940" w:rsidRDefault="008D5940" w:rsidP="008D5940">
      <w:pPr>
        <w:pStyle w:val="Heading1"/>
        <w:numPr>
          <w:ilvl w:val="0"/>
          <w:numId w:val="14"/>
        </w:numPr>
        <w:spacing w:after="100"/>
        <w:contextualSpacing/>
        <w:rPr>
          <w:rFonts w:ascii="Georgia" w:hAnsi="Georgia" w:cs="Arial"/>
          <w:sz w:val="22"/>
        </w:rPr>
      </w:pPr>
      <w:r w:rsidRPr="008D5940">
        <w:rPr>
          <w:rFonts w:ascii="Georgia" w:hAnsi="Georgia" w:cs="Arial"/>
          <w:sz w:val="22"/>
        </w:rPr>
        <w:t>To provide nutritional interventions to residents when indicated</w:t>
      </w:r>
    </w:p>
    <w:p w14:paraId="607DEAB8" w14:textId="77777777" w:rsidR="008D5940" w:rsidRDefault="008D5940" w:rsidP="008D5940">
      <w:pPr>
        <w:pStyle w:val="Heading1"/>
        <w:spacing w:after="100"/>
        <w:contextualSpacing/>
        <w:rPr>
          <w:rFonts w:ascii="Avenir" w:hAnsi="Avenir"/>
          <w:b/>
          <w:sz w:val="22"/>
          <w:szCs w:val="22"/>
        </w:rPr>
      </w:pPr>
    </w:p>
    <w:p w14:paraId="59A2732D" w14:textId="77777777" w:rsidR="008D5940" w:rsidRDefault="008D5940" w:rsidP="00691155">
      <w:pPr>
        <w:pStyle w:val="Heading1"/>
        <w:spacing w:after="100" w:line="360" w:lineRule="auto"/>
        <w:contextualSpacing/>
        <w:rPr>
          <w:rFonts w:ascii="Avenir" w:hAnsi="Avenir"/>
          <w:b/>
          <w:sz w:val="22"/>
          <w:szCs w:val="22"/>
        </w:rPr>
      </w:pPr>
      <w:r>
        <w:rPr>
          <w:rFonts w:ascii="Avenir" w:hAnsi="Avenir"/>
          <w:b/>
          <w:sz w:val="22"/>
          <w:szCs w:val="22"/>
        </w:rPr>
        <w:t>General Guidelines for Assessment May Include But are Not Limited To:</w:t>
      </w:r>
    </w:p>
    <w:p w14:paraId="4829797D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Hydration status</w:t>
      </w:r>
    </w:p>
    <w:p w14:paraId="7A2678B6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Nutritional status</w:t>
      </w:r>
    </w:p>
    <w:p w14:paraId="30F1E92F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Weight loss or gain</w:t>
      </w:r>
    </w:p>
    <w:p w14:paraId="4B8B8EB5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Condition of oral cavity</w:t>
      </w:r>
    </w:p>
    <w:p w14:paraId="43EE9F67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Food allergies</w:t>
      </w:r>
    </w:p>
    <w:p w14:paraId="3466109B" w14:textId="77777777" w:rsidR="008D5940" w:rsidRPr="008D5940" w:rsidRDefault="008D5940" w:rsidP="008D594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  <w:szCs w:val="8"/>
        </w:rPr>
      </w:pPr>
      <w:r w:rsidRPr="008D5940">
        <w:rPr>
          <w:rFonts w:ascii="Georgia" w:hAnsi="Georgia" w:cs="Arial"/>
          <w:szCs w:val="20"/>
        </w:rPr>
        <w:t>Wounds</w:t>
      </w:r>
    </w:p>
    <w:p w14:paraId="4A97CA26" w14:textId="77777777" w:rsidR="008D5940" w:rsidRDefault="008D5940" w:rsidP="008D5940">
      <w:pPr>
        <w:pStyle w:val="Heading1"/>
        <w:spacing w:after="100"/>
        <w:contextualSpacing/>
        <w:rPr>
          <w:rFonts w:ascii="Avenir" w:hAnsi="Avenir"/>
          <w:b/>
          <w:sz w:val="22"/>
          <w:szCs w:val="22"/>
        </w:rPr>
      </w:pPr>
    </w:p>
    <w:p w14:paraId="3C32E45A" w14:textId="77777777" w:rsidR="006C1F75" w:rsidRPr="00A57E29" w:rsidRDefault="006C1F75" w:rsidP="00691155">
      <w:pPr>
        <w:pStyle w:val="Heading1"/>
        <w:spacing w:after="100" w:line="360" w:lineRule="auto"/>
        <w:contextualSpacing/>
        <w:rPr>
          <w:rFonts w:ascii="Avenir" w:hAnsi="Avenir"/>
          <w:b/>
          <w:sz w:val="22"/>
          <w:szCs w:val="22"/>
        </w:rPr>
      </w:pPr>
      <w:r w:rsidRPr="00A57E29">
        <w:rPr>
          <w:rFonts w:ascii="Avenir" w:hAnsi="Avenir"/>
          <w:b/>
          <w:sz w:val="22"/>
          <w:szCs w:val="22"/>
        </w:rPr>
        <w:t xml:space="preserve">Procedure </w:t>
      </w:r>
    </w:p>
    <w:p w14:paraId="076F34A7" w14:textId="77777777" w:rsidR="008D5940" w:rsidRPr="008D5940" w:rsidRDefault="008D5940" w:rsidP="008D5940">
      <w:pPr>
        <w:widowControl w:val="0"/>
        <w:numPr>
          <w:ilvl w:val="0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All residents admitted to the facility that have been identified as a high nutritional risk, prior to admission (IE: diagnosis of dehydration, weight loss, pressure ulcer, new tube feeding, etc.) will be given a nutritional assessment within 48-72 hours of notification</w:t>
      </w:r>
    </w:p>
    <w:p w14:paraId="5043A9FB" w14:textId="77777777" w:rsidR="008D5940" w:rsidRPr="008D5940" w:rsidRDefault="008D5940" w:rsidP="008D5940">
      <w:pPr>
        <w:widowControl w:val="0"/>
        <w:numPr>
          <w:ilvl w:val="0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A nutritional risk committee will meet at regularly scheduled times (IE: weekly, every two weeks) determined by the facility</w:t>
      </w:r>
    </w:p>
    <w:p w14:paraId="4EDCEEAE" w14:textId="77777777" w:rsidR="008D5940" w:rsidRPr="008D5940" w:rsidRDefault="008D5940" w:rsidP="008D5940">
      <w:pPr>
        <w:widowControl w:val="0"/>
        <w:numPr>
          <w:ilvl w:val="1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committee will consist of the Director of Nursing or designee, MDS nurse, Dietician or designee, Dietary Manager or technician and other members of the interdisciplinary team</w:t>
      </w:r>
    </w:p>
    <w:p w14:paraId="0CBD63A7" w14:textId="77777777" w:rsidR="008D5940" w:rsidRPr="008D5940" w:rsidRDefault="008D5940" w:rsidP="008D5940">
      <w:pPr>
        <w:widowControl w:val="0"/>
        <w:numPr>
          <w:ilvl w:val="1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As needed other resources will be consulted (IE: physician, psychologist, dentist, pharmacist, etc.)</w:t>
      </w:r>
    </w:p>
    <w:p w14:paraId="58A4BA5C" w14:textId="77777777" w:rsidR="008D5940" w:rsidRPr="008D5940" w:rsidRDefault="008D5940" w:rsidP="008D5940">
      <w:pPr>
        <w:widowControl w:val="0"/>
        <w:numPr>
          <w:ilvl w:val="0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All newly admitted residents will be weighed weekly for 4 weeks</w:t>
      </w:r>
    </w:p>
    <w:p w14:paraId="428E3A35" w14:textId="77777777" w:rsidR="008D5940" w:rsidRPr="008D5940" w:rsidRDefault="008D5940" w:rsidP="008D5940">
      <w:pPr>
        <w:widowControl w:val="0"/>
        <w:numPr>
          <w:ilvl w:val="1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lastRenderedPageBreak/>
        <w:t>If it is determined by the committee that this resident is not at risk nutritionally, the resident can be weighed monthly thereafter</w:t>
      </w:r>
    </w:p>
    <w:p w14:paraId="655BD479" w14:textId="77777777" w:rsidR="008D5940" w:rsidRPr="008D5940" w:rsidRDefault="008D5940" w:rsidP="008D5940">
      <w:pPr>
        <w:widowControl w:val="0"/>
        <w:numPr>
          <w:ilvl w:val="0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committee will review all weights obtained</w:t>
      </w:r>
    </w:p>
    <w:p w14:paraId="0EF32244" w14:textId="77777777" w:rsidR="008D5940" w:rsidRPr="008D5940" w:rsidRDefault="008D5940" w:rsidP="008D5940">
      <w:pPr>
        <w:widowControl w:val="0"/>
        <w:numPr>
          <w:ilvl w:val="1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committee will determine if a resident is identified as a nutritional risk</w:t>
      </w:r>
    </w:p>
    <w:p w14:paraId="20764B4B" w14:textId="77777777" w:rsidR="008D5940" w:rsidRPr="008D5940" w:rsidRDefault="008D5940" w:rsidP="008D5940">
      <w:pPr>
        <w:widowControl w:val="0"/>
        <w:numPr>
          <w:ilvl w:val="1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Once a resident has been identified as being a nutritional risk, the following protocol will be implemented</w:t>
      </w:r>
    </w:p>
    <w:p w14:paraId="753345BF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resident will be put on weekly weights</w:t>
      </w:r>
    </w:p>
    <w:p w14:paraId="4B07B7DB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committee will initiate an immediate intervention, consultation, etc.</w:t>
      </w:r>
    </w:p>
    <w:p w14:paraId="022535FD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Director of Nursing or appointed staff member will oversee and ensure that the intervention is implemented</w:t>
      </w:r>
    </w:p>
    <w:p w14:paraId="6894CDD3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MDS nurse will care plan the intervention</w:t>
      </w:r>
    </w:p>
    <w:p w14:paraId="2FA90A39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DON or designee will complete the Nutritional Risk Observation in the EMR and document a weekly progress note thereafter within that Observation</w:t>
      </w:r>
    </w:p>
    <w:p w14:paraId="02F9ECC6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Prior to the next meeting the dietary technician or designee will observe the resident(s) at 3 meals, breakfast, lunch and dinner and document the observation on the Nutritional Risk Dining Observation Record</w:t>
      </w:r>
    </w:p>
    <w:p w14:paraId="48FD2705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Meal intake will be reported at each meeting</w:t>
      </w:r>
    </w:p>
    <w:p w14:paraId="32CEC269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Data obtained from additional assessments and evaluations will be discussed at each meeting consecutively</w:t>
      </w:r>
    </w:p>
    <w:p w14:paraId="41050D96" w14:textId="77777777" w:rsidR="008D5940" w:rsidRPr="008D5940" w:rsidRDefault="008D5940" w:rsidP="008D5940">
      <w:pPr>
        <w:widowControl w:val="0"/>
        <w:numPr>
          <w:ilvl w:val="2"/>
          <w:numId w:val="16"/>
        </w:numPr>
        <w:tabs>
          <w:tab w:val="left" w:pos="6120"/>
        </w:tabs>
        <w:autoSpaceDE w:val="0"/>
        <w:autoSpaceDN w:val="0"/>
        <w:adjustRightInd w:val="0"/>
        <w:spacing w:after="100" w:line="240" w:lineRule="auto"/>
        <w:contextualSpacing/>
        <w:rPr>
          <w:rFonts w:ascii="Georgia" w:hAnsi="Georgia" w:cs="Arial"/>
        </w:rPr>
      </w:pPr>
      <w:r w:rsidRPr="008D5940">
        <w:rPr>
          <w:rFonts w:ascii="Georgia" w:hAnsi="Georgia" w:cs="Arial"/>
        </w:rPr>
        <w:t>The committee will determine when the resident is no longer a nutritional risk</w:t>
      </w:r>
    </w:p>
    <w:p w14:paraId="79E70C5B" w14:textId="77777777" w:rsidR="007D240F" w:rsidRPr="00A57E29" w:rsidRDefault="007D240F" w:rsidP="008D5940">
      <w:pPr>
        <w:spacing w:after="100" w:line="240" w:lineRule="auto"/>
        <w:ind w:left="720"/>
      </w:pPr>
    </w:p>
    <w:sectPr w:rsidR="007D240F" w:rsidRPr="00A57E29" w:rsidSect="00691155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04BD" w14:textId="77777777" w:rsidR="008C579B" w:rsidRDefault="008C579B" w:rsidP="00004886">
      <w:pPr>
        <w:spacing w:after="0" w:line="240" w:lineRule="auto"/>
      </w:pPr>
      <w:r>
        <w:separator/>
      </w:r>
    </w:p>
  </w:endnote>
  <w:endnote w:type="continuationSeparator" w:id="0">
    <w:p w14:paraId="18FB7FCA" w14:textId="77777777" w:rsidR="008C579B" w:rsidRDefault="008C579B" w:rsidP="0000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">
    <w:altName w:val="Corbel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AFD83" w14:textId="58667CD5" w:rsidR="00691155" w:rsidRDefault="00691155">
    <w:pPr>
      <w:pStyle w:val="Footer"/>
      <w:rPr>
        <w:rFonts w:ascii="Avenir" w:hAnsi="Avenir"/>
        <w:b/>
        <w:sz w:val="24"/>
        <w:szCs w:val="24"/>
      </w:rPr>
    </w:pPr>
    <w:r>
      <w:rPr>
        <w:rFonts w:ascii="Avenir" w:hAnsi="Avenir"/>
      </w:rPr>
      <w:tab/>
    </w:r>
    <w:r>
      <w:rPr>
        <w:rFonts w:ascii="Avenir" w:hAnsi="Avenir"/>
      </w:rPr>
      <w:tab/>
    </w:r>
    <w:r w:rsidRPr="0091763A">
      <w:rPr>
        <w:rFonts w:ascii="Avenir" w:hAnsi="Avenir"/>
      </w:rPr>
      <w:t xml:space="preserve">Page </w:t>
    </w:r>
    <w:r w:rsidRPr="0091763A">
      <w:rPr>
        <w:rFonts w:ascii="Avenir" w:hAnsi="Avenir"/>
        <w:b/>
        <w:sz w:val="24"/>
        <w:szCs w:val="24"/>
      </w:rPr>
      <w:fldChar w:fldCharType="begin"/>
    </w:r>
    <w:r w:rsidRPr="0091763A">
      <w:rPr>
        <w:rFonts w:ascii="Avenir" w:hAnsi="Avenir"/>
        <w:b/>
      </w:rPr>
      <w:instrText xml:space="preserve"> PAGE </w:instrText>
    </w:r>
    <w:r w:rsidRPr="0091763A">
      <w:rPr>
        <w:rFonts w:ascii="Avenir" w:hAnsi="Avenir"/>
        <w:b/>
        <w:sz w:val="24"/>
        <w:szCs w:val="24"/>
      </w:rPr>
      <w:fldChar w:fldCharType="separate"/>
    </w:r>
    <w:r>
      <w:rPr>
        <w:rFonts w:ascii="Avenir" w:hAnsi="Avenir"/>
        <w:b/>
        <w:sz w:val="24"/>
        <w:szCs w:val="24"/>
      </w:rPr>
      <w:t>1</w:t>
    </w:r>
    <w:r w:rsidRPr="0091763A">
      <w:rPr>
        <w:rFonts w:ascii="Avenir" w:hAnsi="Avenir"/>
        <w:b/>
        <w:sz w:val="24"/>
        <w:szCs w:val="24"/>
      </w:rPr>
      <w:fldChar w:fldCharType="end"/>
    </w:r>
    <w:r w:rsidRPr="0091763A">
      <w:rPr>
        <w:rFonts w:ascii="Avenir" w:hAnsi="Avenir"/>
      </w:rPr>
      <w:t xml:space="preserve"> of </w:t>
    </w:r>
    <w:r w:rsidRPr="0091763A">
      <w:rPr>
        <w:rFonts w:ascii="Avenir" w:hAnsi="Avenir"/>
        <w:b/>
        <w:sz w:val="24"/>
        <w:szCs w:val="24"/>
      </w:rPr>
      <w:fldChar w:fldCharType="begin"/>
    </w:r>
    <w:r w:rsidRPr="0091763A">
      <w:rPr>
        <w:rFonts w:ascii="Avenir" w:hAnsi="Avenir"/>
        <w:b/>
      </w:rPr>
      <w:instrText xml:space="preserve"> NUMPAGES  </w:instrText>
    </w:r>
    <w:r w:rsidRPr="0091763A">
      <w:rPr>
        <w:rFonts w:ascii="Avenir" w:hAnsi="Avenir"/>
        <w:b/>
        <w:sz w:val="24"/>
        <w:szCs w:val="24"/>
      </w:rPr>
      <w:fldChar w:fldCharType="separate"/>
    </w:r>
    <w:r>
      <w:rPr>
        <w:rFonts w:ascii="Avenir" w:hAnsi="Avenir"/>
        <w:b/>
        <w:sz w:val="24"/>
        <w:szCs w:val="24"/>
      </w:rPr>
      <w:t>2</w:t>
    </w:r>
    <w:r w:rsidRPr="0091763A">
      <w:rPr>
        <w:rFonts w:ascii="Avenir" w:hAnsi="Avenir"/>
        <w:b/>
        <w:sz w:val="24"/>
        <w:szCs w:val="24"/>
      </w:rPr>
      <w:fldChar w:fldCharType="end"/>
    </w:r>
  </w:p>
  <w:p w14:paraId="627566C5" w14:textId="77777777" w:rsidR="00691155" w:rsidRDefault="00691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" w:hAnsi="Avenir"/>
      </w:rPr>
      <w:id w:val="289173961"/>
      <w:docPartObj>
        <w:docPartGallery w:val="Page Numbers (Bottom of Page)"/>
        <w:docPartUnique/>
      </w:docPartObj>
    </w:sdtPr>
    <w:sdtEndPr/>
    <w:sdtContent>
      <w:sdt>
        <w:sdtPr>
          <w:rPr>
            <w:rFonts w:ascii="Avenir" w:hAnsi="Avenir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9B7D803" w14:textId="77777777" w:rsidR="006C1F75" w:rsidRDefault="006C1F75" w:rsidP="003A605C">
            <w:pPr>
              <w:pStyle w:val="Footer"/>
              <w:jc w:val="right"/>
              <w:rPr>
                <w:rFonts w:ascii="Avenir" w:hAnsi="Avenir"/>
              </w:rPr>
            </w:pPr>
          </w:p>
          <w:p w14:paraId="0CE6BAF8" w14:textId="1D9C81F4" w:rsidR="003A605C" w:rsidRPr="0091763A" w:rsidRDefault="003A605C" w:rsidP="003A605C">
            <w:pPr>
              <w:pStyle w:val="Footer"/>
              <w:jc w:val="right"/>
              <w:rPr>
                <w:rFonts w:ascii="Avenir" w:hAnsi="Avenir"/>
              </w:rPr>
            </w:pPr>
            <w:r w:rsidRPr="0091763A">
              <w:rPr>
                <w:rFonts w:ascii="Avenir" w:hAnsi="Avenir"/>
              </w:rPr>
              <w:t xml:space="preserve">Page </w: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PAGE </w:instrTex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B7415D">
              <w:rPr>
                <w:rFonts w:ascii="Avenir" w:hAnsi="Avenir"/>
                <w:b/>
                <w:noProof/>
              </w:rPr>
              <w:t>1</w: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  <w:r w:rsidRPr="0091763A">
              <w:rPr>
                <w:rFonts w:ascii="Avenir" w:hAnsi="Avenir"/>
              </w:rPr>
              <w:t xml:space="preserve"> of </w: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begin"/>
            </w:r>
            <w:r w:rsidRPr="0091763A">
              <w:rPr>
                <w:rFonts w:ascii="Avenir" w:hAnsi="Avenir"/>
                <w:b/>
              </w:rPr>
              <w:instrText xml:space="preserve"> NUMPAGES  </w:instrTex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separate"/>
            </w:r>
            <w:r w:rsidR="00B7415D">
              <w:rPr>
                <w:rFonts w:ascii="Avenir" w:hAnsi="Avenir"/>
                <w:b/>
                <w:noProof/>
              </w:rPr>
              <w:t>2</w:t>
            </w:r>
            <w:r w:rsidR="00226A30" w:rsidRPr="0091763A">
              <w:rPr>
                <w:rFonts w:ascii="Avenir" w:hAnsi="Avenir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9F6156" w14:textId="77777777" w:rsidR="003A605C" w:rsidRDefault="003A6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47062" w14:textId="77777777" w:rsidR="008C579B" w:rsidRDefault="008C579B" w:rsidP="00004886">
      <w:pPr>
        <w:spacing w:after="0" w:line="240" w:lineRule="auto"/>
      </w:pPr>
      <w:r>
        <w:separator/>
      </w:r>
    </w:p>
  </w:footnote>
  <w:footnote w:type="continuationSeparator" w:id="0">
    <w:p w14:paraId="690DC783" w14:textId="77777777" w:rsidR="008C579B" w:rsidRDefault="008C579B" w:rsidP="0000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DE271" w14:textId="77777777" w:rsidR="003A605C" w:rsidRDefault="00094CD8" w:rsidP="00004886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501954D4" wp14:editId="76D82B9E">
              <wp:simplePos x="0" y="0"/>
              <wp:positionH relativeFrom="column">
                <wp:posOffset>3409950</wp:posOffset>
              </wp:positionH>
              <wp:positionV relativeFrom="paragraph">
                <wp:posOffset>87630</wp:posOffset>
              </wp:positionV>
              <wp:extent cx="2879090" cy="537845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537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5897A" w14:textId="77777777" w:rsidR="003A605C" w:rsidRPr="0091763A" w:rsidRDefault="004C4532" w:rsidP="00004886">
                          <w:pPr>
                            <w:jc w:val="right"/>
                            <w:rPr>
                              <w:rFonts w:ascii="Avenir" w:hAnsi="Avenir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>S</w:t>
                          </w:r>
                          <w:r w:rsidR="00437E00"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>NF Nursing</w:t>
                          </w:r>
                          <w:r w:rsidR="003A605C" w:rsidRPr="0091763A">
                            <w:rPr>
                              <w:rFonts w:ascii="Avenir" w:hAnsi="Avenir"/>
                              <w:sz w:val="32"/>
                              <w:szCs w:val="32"/>
                            </w:rPr>
                            <w:t xml:space="preserve"> Policy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01954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8.5pt;margin-top:6.9pt;width:226.7pt;height:42.35pt;z-index:251706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" stroked="f">
              <v:textbox style="mso-fit-shape-to-text:t">
                <w:txbxContent>
                  <w:p w14:paraId="0405897A" w14:textId="77777777" w:rsidR="003A605C" w:rsidRPr="0091763A" w:rsidRDefault="004C4532" w:rsidP="00004886">
                    <w:pPr>
                      <w:jc w:val="right"/>
                      <w:rPr>
                        <w:rFonts w:ascii="Avenir" w:hAnsi="Avenir"/>
                        <w:sz w:val="32"/>
                        <w:szCs w:val="32"/>
                      </w:rPr>
                    </w:pPr>
                    <w:r>
                      <w:rPr>
                        <w:rFonts w:ascii="Avenir" w:hAnsi="Avenir"/>
                        <w:sz w:val="32"/>
                        <w:szCs w:val="32"/>
                      </w:rPr>
                      <w:t>S</w:t>
                    </w:r>
                    <w:r w:rsidR="00437E00">
                      <w:rPr>
                        <w:rFonts w:ascii="Avenir" w:hAnsi="Avenir"/>
                        <w:sz w:val="32"/>
                        <w:szCs w:val="32"/>
                      </w:rPr>
                      <w:t>NF Nursing</w:t>
                    </w:r>
                    <w:r w:rsidR="003A605C" w:rsidRPr="0091763A">
                      <w:rPr>
                        <w:rFonts w:ascii="Avenir" w:hAnsi="Avenir"/>
                        <w:sz w:val="32"/>
                        <w:szCs w:val="32"/>
                      </w:rPr>
                      <w:t xml:space="preserve"> Policy</w:t>
                    </w:r>
                  </w:p>
                </w:txbxContent>
              </v:textbox>
            </v:shape>
          </w:pict>
        </mc:Fallback>
      </mc:AlternateContent>
    </w:r>
    <w:r w:rsidR="003A605C">
      <w:t xml:space="preserve"> </w:t>
    </w:r>
    <w:r w:rsidR="00291140">
      <w:rPr>
        <w:noProof/>
      </w:rPr>
      <w:drawing>
        <wp:inline distT="0" distB="0" distL="0" distR="0" wp14:anchorId="5E0E4E19" wp14:editId="65D6FF1B">
          <wp:extent cx="2125229" cy="548640"/>
          <wp:effectExtent l="19050" t="0" r="8371" b="0"/>
          <wp:docPr id="1" name="Picture 2" descr="OL-Corporate Black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-Corporate Black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22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5"/>
      <w:gridCol w:w="3118"/>
      <w:gridCol w:w="3117"/>
    </w:tblGrid>
    <w:tr w:rsidR="00691155" w:rsidRPr="00004886" w14:paraId="6F98D99D" w14:textId="77777777" w:rsidTr="00691155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173F39CB" w14:textId="77777777" w:rsidR="00691155" w:rsidRPr="0091763A" w:rsidRDefault="00691155" w:rsidP="00691155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Policy Name</w:t>
          </w:r>
        </w:p>
      </w:tc>
    </w:tr>
    <w:tr w:rsidR="00691155" w:rsidRPr="00004886" w14:paraId="6E6D370D" w14:textId="77777777" w:rsidTr="00691155">
      <w:trPr>
        <w:trHeight w:val="432"/>
      </w:trPr>
      <w:tc>
        <w:tcPr>
          <w:tcW w:w="9350" w:type="dxa"/>
          <w:gridSpan w:val="3"/>
          <w:vAlign w:val="center"/>
        </w:tcPr>
        <w:p w14:paraId="40D60AE8" w14:textId="77777777" w:rsidR="00691155" w:rsidRPr="00383057" w:rsidRDefault="00691155" w:rsidP="00691155">
          <w:pPr>
            <w:pStyle w:val="Heading1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Residents at Nutritional Risk</w:t>
          </w:r>
        </w:p>
      </w:tc>
    </w:tr>
    <w:tr w:rsidR="00017F74" w:rsidRPr="00004886" w14:paraId="03F59F20" w14:textId="77777777" w:rsidTr="00691155">
      <w:tc>
        <w:tcPr>
          <w:tcW w:w="3115" w:type="dxa"/>
          <w:shd w:val="clear" w:color="auto" w:fill="D9D9D9" w:themeFill="background1" w:themeFillShade="D9"/>
        </w:tcPr>
        <w:p w14:paraId="6EE5E694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Effective Date</w:t>
          </w:r>
        </w:p>
      </w:tc>
      <w:tc>
        <w:tcPr>
          <w:tcW w:w="3118" w:type="dxa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04CBBB86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Revised Date</w:t>
          </w:r>
        </w:p>
      </w:tc>
      <w:tc>
        <w:tcPr>
          <w:tcW w:w="3117" w:type="dxa"/>
          <w:shd w:val="clear" w:color="auto" w:fill="D9D9D9" w:themeFill="background1" w:themeFillShade="D9"/>
        </w:tcPr>
        <w:p w14:paraId="16E5AB9F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Next Review Date</w:t>
          </w:r>
        </w:p>
      </w:tc>
    </w:tr>
    <w:tr w:rsidR="00017F74" w:rsidRPr="00004886" w14:paraId="5A33B0F2" w14:textId="77777777" w:rsidTr="00691155">
      <w:tc>
        <w:tcPr>
          <w:tcW w:w="3115" w:type="dxa"/>
        </w:tcPr>
        <w:p w14:paraId="00E6301F" w14:textId="7973C088" w:rsidR="00017F74" w:rsidRPr="00383057" w:rsidRDefault="00691155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</w:t>
          </w:r>
          <w:r w:rsidR="008D5940">
            <w:rPr>
              <w:rFonts w:ascii="Georgia" w:eastAsiaTheme="minorHAnsi" w:hAnsi="Georgia" w:cstheme="minorBidi"/>
            </w:rPr>
            <w:t>5/</w:t>
          </w:r>
          <w:r w:rsidR="00CE6E59">
            <w:rPr>
              <w:rFonts w:ascii="Georgia" w:eastAsiaTheme="minorHAnsi" w:hAnsi="Georgia" w:cstheme="minorBidi"/>
            </w:rPr>
            <w:t>10/20</w:t>
          </w:r>
          <w:r w:rsidR="008D5940">
            <w:rPr>
              <w:rFonts w:ascii="Georgia" w:eastAsiaTheme="minorHAnsi" w:hAnsi="Georgia" w:cstheme="minorBidi"/>
            </w:rPr>
            <w:t>03</w:t>
          </w:r>
        </w:p>
      </w:tc>
      <w:tc>
        <w:tcPr>
          <w:tcW w:w="3118" w:type="dxa"/>
          <w:tcMar>
            <w:top w:w="115" w:type="dxa"/>
            <w:left w:w="115" w:type="dxa"/>
            <w:bottom w:w="115" w:type="dxa"/>
            <w:right w:w="115" w:type="dxa"/>
          </w:tcMar>
        </w:tcPr>
        <w:p w14:paraId="19D0D028" w14:textId="67DE164D" w:rsidR="00017F74" w:rsidRPr="00383057" w:rsidRDefault="00691155" w:rsidP="004C4532">
          <w:pPr>
            <w:pStyle w:val="Header"/>
            <w:spacing w:after="0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03/31/2023</w:t>
          </w:r>
        </w:p>
      </w:tc>
      <w:tc>
        <w:tcPr>
          <w:tcW w:w="3117" w:type="dxa"/>
        </w:tcPr>
        <w:p w14:paraId="7ACE5F87" w14:textId="1324AF5D" w:rsidR="00017F74" w:rsidRPr="00383057" w:rsidRDefault="00691155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03/31/2025</w:t>
          </w:r>
        </w:p>
      </w:tc>
    </w:tr>
    <w:tr w:rsidR="00691155" w:rsidRPr="00004886" w14:paraId="7577C3C8" w14:textId="77777777" w:rsidTr="00691155">
      <w:trPr>
        <w:trHeight w:val="432"/>
      </w:trPr>
      <w:tc>
        <w:tcPr>
          <w:tcW w:w="9350" w:type="dxa"/>
          <w:gridSpan w:val="3"/>
          <w:shd w:val="clear" w:color="auto" w:fill="D9D9D9" w:themeFill="background1" w:themeFillShade="D9"/>
          <w:vAlign w:val="center"/>
        </w:tcPr>
        <w:p w14:paraId="121973AF" w14:textId="66C23A56" w:rsidR="00691155" w:rsidRPr="0091763A" w:rsidRDefault="00691155" w:rsidP="00691155">
          <w:pPr>
            <w:spacing w:after="0" w:line="240" w:lineRule="auto"/>
            <w:rPr>
              <w:rFonts w:ascii="Avenir" w:eastAsiaTheme="minorHAnsi" w:hAnsi="Avenir" w:cstheme="minorBidi"/>
              <w:b/>
            </w:rPr>
          </w:pPr>
          <w:r w:rsidRPr="0091763A">
            <w:rPr>
              <w:rFonts w:ascii="Avenir" w:eastAsiaTheme="minorHAnsi" w:hAnsi="Avenir" w:cstheme="minorBidi"/>
              <w:b/>
            </w:rPr>
            <w:t>A</w:t>
          </w:r>
          <w:r>
            <w:rPr>
              <w:rFonts w:ascii="Avenir" w:eastAsiaTheme="minorHAnsi" w:hAnsi="Avenir" w:cstheme="minorBidi"/>
              <w:b/>
            </w:rPr>
            <w:t>uthor &amp; A</w:t>
          </w:r>
          <w:r w:rsidRPr="0091763A">
            <w:rPr>
              <w:rFonts w:ascii="Avenir" w:eastAsiaTheme="minorHAnsi" w:hAnsi="Avenir" w:cstheme="minorBidi"/>
              <w:b/>
            </w:rPr>
            <w:t>pprover Title</w:t>
          </w:r>
        </w:p>
      </w:tc>
    </w:tr>
    <w:tr w:rsidR="00691155" w:rsidRPr="00004886" w14:paraId="5D7EB26F" w14:textId="77777777" w:rsidTr="00691155">
      <w:trPr>
        <w:trHeight w:val="432"/>
      </w:trPr>
      <w:tc>
        <w:tcPr>
          <w:tcW w:w="9350" w:type="dxa"/>
          <w:gridSpan w:val="3"/>
          <w:vAlign w:val="center"/>
        </w:tcPr>
        <w:p w14:paraId="7D34611E" w14:textId="23A9DE31" w:rsidR="00691155" w:rsidRPr="00383057" w:rsidRDefault="00691155" w:rsidP="00691155">
          <w:pPr>
            <w:spacing w:after="0" w:line="240" w:lineRule="auto"/>
            <w:rPr>
              <w:rFonts w:ascii="Georgia" w:eastAsiaTheme="minorHAnsi" w:hAnsi="Georgia" w:cstheme="minorBidi"/>
            </w:rPr>
          </w:pPr>
          <w:r>
            <w:rPr>
              <w:rFonts w:ascii="Georgia" w:eastAsiaTheme="minorHAnsi" w:hAnsi="Georgia" w:cstheme="minorBidi"/>
            </w:rPr>
            <w:t>Division Director of Clinical Operations</w:t>
          </w:r>
        </w:p>
      </w:tc>
    </w:tr>
    <w:tr w:rsidR="00017F74" w:rsidRPr="00004886" w14:paraId="1725D323" w14:textId="77777777" w:rsidTr="00691155">
      <w:tc>
        <w:tcPr>
          <w:tcW w:w="9350" w:type="dxa"/>
          <w:gridSpan w:val="3"/>
          <w:shd w:val="clear" w:color="auto" w:fill="D9D9D9" w:themeFill="background1" w:themeFillShade="D9"/>
          <w:tcMar>
            <w:top w:w="115" w:type="dxa"/>
            <w:left w:w="115" w:type="dxa"/>
            <w:bottom w:w="115" w:type="dxa"/>
            <w:right w:w="115" w:type="dxa"/>
          </w:tcMar>
        </w:tcPr>
        <w:p w14:paraId="609033F3" w14:textId="77777777" w:rsidR="00017F74" w:rsidRPr="0091763A" w:rsidRDefault="00017F74" w:rsidP="00D755F0">
          <w:pPr>
            <w:spacing w:after="0" w:line="240" w:lineRule="auto"/>
            <w:rPr>
              <w:rFonts w:ascii="Avenir" w:eastAsiaTheme="minorHAnsi" w:hAnsi="Avenir" w:cstheme="minorBidi"/>
            </w:rPr>
          </w:pPr>
          <w:r w:rsidRPr="0091763A">
            <w:rPr>
              <w:rFonts w:ascii="Avenir" w:eastAsiaTheme="minorHAnsi" w:hAnsi="Avenir" w:cstheme="minorBidi"/>
              <w:b/>
            </w:rPr>
            <w:t>Attachments or Other Resources (Not Required)</w:t>
          </w:r>
        </w:p>
      </w:tc>
    </w:tr>
    <w:tr w:rsidR="00017F74" w:rsidRPr="00004886" w14:paraId="22466FBB" w14:textId="77777777" w:rsidTr="00691155">
      <w:tc>
        <w:tcPr>
          <w:tcW w:w="9350" w:type="dxa"/>
          <w:gridSpan w:val="3"/>
          <w:shd w:val="clear" w:color="auto" w:fill="auto"/>
          <w:tcMar>
            <w:top w:w="115" w:type="dxa"/>
            <w:left w:w="115" w:type="dxa"/>
            <w:bottom w:w="115" w:type="dxa"/>
            <w:right w:w="115" w:type="dxa"/>
          </w:tcMar>
        </w:tcPr>
        <w:p w14:paraId="2121A1BC" w14:textId="77777777" w:rsidR="00017F74" w:rsidRPr="00383057" w:rsidRDefault="00017F74" w:rsidP="00D755F0">
          <w:pPr>
            <w:spacing w:after="0" w:line="240" w:lineRule="auto"/>
            <w:rPr>
              <w:rFonts w:ascii="Georgia" w:eastAsiaTheme="minorHAnsi" w:hAnsi="Georgia" w:cstheme="minorBidi"/>
            </w:rPr>
          </w:pPr>
        </w:p>
      </w:tc>
    </w:tr>
  </w:tbl>
  <w:p w14:paraId="033928E3" w14:textId="77777777" w:rsidR="00017F74" w:rsidRDefault="00017F74" w:rsidP="00004886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6_"/>
      </v:shape>
    </w:pict>
  </w:numPicBullet>
  <w:abstractNum w:abstractNumId="0" w15:restartNumberingAfterBreak="0">
    <w:nsid w:val="00EC1CB0"/>
    <w:multiLevelType w:val="hybridMultilevel"/>
    <w:tmpl w:val="9FF4F4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7CF2"/>
    <w:multiLevelType w:val="hybridMultilevel"/>
    <w:tmpl w:val="349EE81C"/>
    <w:lvl w:ilvl="0" w:tplc="9760CA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DF2"/>
    <w:multiLevelType w:val="hybridMultilevel"/>
    <w:tmpl w:val="0BA8940A"/>
    <w:lvl w:ilvl="0" w:tplc="4A0ACD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E7708"/>
    <w:multiLevelType w:val="hybridMultilevel"/>
    <w:tmpl w:val="A11E70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5949"/>
    <w:multiLevelType w:val="hybridMultilevel"/>
    <w:tmpl w:val="6D306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46AE0"/>
    <w:multiLevelType w:val="hybridMultilevel"/>
    <w:tmpl w:val="96EA1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182F"/>
    <w:multiLevelType w:val="hybridMultilevel"/>
    <w:tmpl w:val="DE562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3333A"/>
    <w:multiLevelType w:val="hybridMultilevel"/>
    <w:tmpl w:val="0492A7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7B1781"/>
    <w:multiLevelType w:val="multilevel"/>
    <w:tmpl w:val="F03EFFBA"/>
    <w:lvl w:ilvl="0">
      <w:start w:val="1"/>
      <w:numFmt w:val="decimal"/>
      <w:pStyle w:val="Heading7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2B06EDF"/>
    <w:multiLevelType w:val="hybridMultilevel"/>
    <w:tmpl w:val="64161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235BC1"/>
    <w:multiLevelType w:val="hybridMultilevel"/>
    <w:tmpl w:val="7610C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A13318"/>
    <w:multiLevelType w:val="hybridMultilevel"/>
    <w:tmpl w:val="996EB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943643"/>
    <w:multiLevelType w:val="singleLevel"/>
    <w:tmpl w:val="B19E6AA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6B51580A"/>
    <w:multiLevelType w:val="hybridMultilevel"/>
    <w:tmpl w:val="3C9C7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B7622"/>
    <w:multiLevelType w:val="hybridMultilevel"/>
    <w:tmpl w:val="80D01F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656DB7"/>
    <w:multiLevelType w:val="hybridMultilevel"/>
    <w:tmpl w:val="5008D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11"/>
  </w:num>
  <w:num w:numId="5">
    <w:abstractNumId w:val="4"/>
  </w:num>
  <w:num w:numId="6">
    <w:abstractNumId w:val="15"/>
  </w:num>
  <w:num w:numId="7">
    <w:abstractNumId w:val="1"/>
  </w:num>
  <w:num w:numId="8">
    <w:abstractNumId w:val="12"/>
  </w:num>
  <w:num w:numId="9">
    <w:abstractNumId w:val="3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evenAndOddHeaders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A3NzA0NzMxMTeysDBR0lEKTi0uzszPAykwrgUAwukv9SwAAAA="/>
  </w:docVars>
  <w:rsids>
    <w:rsidRoot w:val="00004886"/>
    <w:rsid w:val="00004886"/>
    <w:rsid w:val="00017F74"/>
    <w:rsid w:val="00070BDF"/>
    <w:rsid w:val="00094CD8"/>
    <w:rsid w:val="000C2C35"/>
    <w:rsid w:val="00175CE0"/>
    <w:rsid w:val="002174C0"/>
    <w:rsid w:val="00226A30"/>
    <w:rsid w:val="00291140"/>
    <w:rsid w:val="002C7AA0"/>
    <w:rsid w:val="00366B62"/>
    <w:rsid w:val="00383057"/>
    <w:rsid w:val="003A605C"/>
    <w:rsid w:val="003D1A88"/>
    <w:rsid w:val="00437E00"/>
    <w:rsid w:val="00496194"/>
    <w:rsid w:val="004B09AF"/>
    <w:rsid w:val="004C4532"/>
    <w:rsid w:val="004F18AD"/>
    <w:rsid w:val="004F7E1E"/>
    <w:rsid w:val="006318B2"/>
    <w:rsid w:val="00636251"/>
    <w:rsid w:val="0064513A"/>
    <w:rsid w:val="006772EC"/>
    <w:rsid w:val="00691155"/>
    <w:rsid w:val="006C1F75"/>
    <w:rsid w:val="00721119"/>
    <w:rsid w:val="007D240F"/>
    <w:rsid w:val="007D3C3F"/>
    <w:rsid w:val="00806F6F"/>
    <w:rsid w:val="00857EA6"/>
    <w:rsid w:val="008870D8"/>
    <w:rsid w:val="008A1C39"/>
    <w:rsid w:val="008C579B"/>
    <w:rsid w:val="008D5940"/>
    <w:rsid w:val="008F49D4"/>
    <w:rsid w:val="00914055"/>
    <w:rsid w:val="0091763A"/>
    <w:rsid w:val="009342A6"/>
    <w:rsid w:val="00A57E29"/>
    <w:rsid w:val="00AE71B9"/>
    <w:rsid w:val="00B34F9C"/>
    <w:rsid w:val="00B7415D"/>
    <w:rsid w:val="00BA51C0"/>
    <w:rsid w:val="00C3198B"/>
    <w:rsid w:val="00C70850"/>
    <w:rsid w:val="00C80B9F"/>
    <w:rsid w:val="00CC3BEE"/>
    <w:rsid w:val="00CE6E59"/>
    <w:rsid w:val="00DD17C5"/>
    <w:rsid w:val="00E313F8"/>
    <w:rsid w:val="00E547EA"/>
    <w:rsid w:val="00E810E1"/>
    <w:rsid w:val="00F107CD"/>
    <w:rsid w:val="00F53FEA"/>
    <w:rsid w:val="00FE2300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37CE948"/>
  <w15:docId w15:val="{7A58CE38-009E-497F-9BF3-C78C8497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D1A88"/>
    <w:pPr>
      <w:keepNext/>
      <w:spacing w:after="0" w:line="240" w:lineRule="auto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291140"/>
    <w:pPr>
      <w:keepNext/>
      <w:numPr>
        <w:numId w:val="10"/>
      </w:numPr>
      <w:spacing w:after="0" w:line="240" w:lineRule="auto"/>
      <w:outlineLvl w:val="6"/>
    </w:pPr>
    <w:rPr>
      <w:rFonts w:ascii="Arial" w:eastAsia="Times New Roman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8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886"/>
  </w:style>
  <w:style w:type="paragraph" w:styleId="Footer">
    <w:name w:val="footer"/>
    <w:basedOn w:val="Normal"/>
    <w:link w:val="FooterChar"/>
    <w:uiPriority w:val="99"/>
    <w:unhideWhenUsed/>
    <w:rsid w:val="000048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86"/>
  </w:style>
  <w:style w:type="paragraph" w:styleId="BalloonText">
    <w:name w:val="Balloon Text"/>
    <w:basedOn w:val="Normal"/>
    <w:link w:val="BalloonTextChar"/>
    <w:uiPriority w:val="99"/>
    <w:semiHidden/>
    <w:unhideWhenUsed/>
    <w:rsid w:val="00004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23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D1A88"/>
    <w:rPr>
      <w:rFonts w:ascii="Arial" w:eastAsia="Times New Roman" w:hAnsi="Arial"/>
      <w:sz w:val="24"/>
    </w:rPr>
  </w:style>
  <w:style w:type="paragraph" w:styleId="BodyText">
    <w:name w:val="Body Text"/>
    <w:basedOn w:val="Normal"/>
    <w:link w:val="BodyTextChar"/>
    <w:semiHidden/>
    <w:rsid w:val="003D1A88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D1A88"/>
    <w:rPr>
      <w:rFonts w:ascii="Arial" w:eastAsia="Times New Roman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4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291140"/>
    <w:rPr>
      <w:rFonts w:ascii="Arial" w:eastAsia="Times New Roman" w:hAnsi="Arial"/>
      <w:sz w:val="24"/>
    </w:rPr>
  </w:style>
  <w:style w:type="character" w:styleId="Hyperlink">
    <w:name w:val="Hyperlink"/>
    <w:basedOn w:val="DefaultParagraphFont"/>
    <w:semiHidden/>
    <w:rsid w:val="00291140"/>
    <w:rPr>
      <w:color w:val="0000FF"/>
      <w:u w:val="single"/>
    </w:rPr>
  </w:style>
  <w:style w:type="paragraph" w:customStyle="1" w:styleId="Default">
    <w:name w:val="Default"/>
    <w:rsid w:val="002911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OPRS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Stoker</dc:creator>
  <cp:lastModifiedBy>Lauren Mathis</cp:lastModifiedBy>
  <cp:revision>3</cp:revision>
  <cp:lastPrinted>2016-09-28T17:55:00Z</cp:lastPrinted>
  <dcterms:created xsi:type="dcterms:W3CDTF">2023-04-05T17:04:00Z</dcterms:created>
  <dcterms:modified xsi:type="dcterms:W3CDTF">2023-04-05T17:06:00Z</dcterms:modified>
</cp:coreProperties>
</file>