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3545" w14:textId="77777777" w:rsidR="006244DE" w:rsidRDefault="006244DE" w:rsidP="006244DE">
      <w:pPr>
        <w:numPr>
          <w:ilvl w:val="0"/>
          <w:numId w:val="1"/>
        </w:numPr>
        <w:ind w:left="720" w:hanging="540"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Definitions</w:t>
      </w:r>
    </w:p>
    <w:p w14:paraId="7E806491" w14:textId="77777777" w:rsidR="006244DE" w:rsidRDefault="006244DE" w:rsidP="00951015">
      <w:pPr>
        <w:pStyle w:val="Default"/>
        <w:ind w:left="720"/>
        <w:rPr>
          <w:rFonts w:ascii="Georgia" w:hAnsi="Georgia"/>
          <w:bCs/>
          <w:iCs/>
          <w:color w:val="auto"/>
          <w:sz w:val="22"/>
          <w:szCs w:val="22"/>
        </w:rPr>
      </w:pPr>
      <w:r w:rsidRPr="00127702">
        <w:rPr>
          <w:rFonts w:ascii="Georgia" w:hAnsi="Georgia"/>
          <w:bCs/>
          <w:iCs/>
          <w:color w:val="auto"/>
          <w:sz w:val="22"/>
          <w:szCs w:val="22"/>
        </w:rPr>
        <w:t xml:space="preserve">A psychotropic drug is any drug that affects brain activities associated with mental processes and behavior. These drugs include, but are not limited to, drugs in the following categories: </w:t>
      </w:r>
    </w:p>
    <w:p w14:paraId="1E9EF9FA" w14:textId="77777777" w:rsidR="006244DE" w:rsidRPr="00127702" w:rsidRDefault="006244DE" w:rsidP="00951015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 w:rsidRPr="00127702">
        <w:rPr>
          <w:rFonts w:ascii="Georgia" w:hAnsi="Georgia"/>
          <w:bCs/>
          <w:iCs/>
          <w:color w:val="auto"/>
          <w:sz w:val="22"/>
          <w:szCs w:val="22"/>
        </w:rPr>
        <w:t xml:space="preserve">Anti-psychotic; </w:t>
      </w:r>
    </w:p>
    <w:p w14:paraId="53E8A37E" w14:textId="77777777" w:rsidR="006244DE" w:rsidRPr="00127702" w:rsidRDefault="006244DE" w:rsidP="00951015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 w:rsidRPr="00127702">
        <w:rPr>
          <w:rFonts w:ascii="Georgia" w:hAnsi="Georgia"/>
          <w:bCs/>
          <w:iCs/>
          <w:color w:val="auto"/>
          <w:sz w:val="22"/>
          <w:szCs w:val="22"/>
        </w:rPr>
        <w:t xml:space="preserve">Anti-depressant; </w:t>
      </w:r>
    </w:p>
    <w:p w14:paraId="1ED4F10B" w14:textId="77777777" w:rsidR="006244DE" w:rsidRPr="00127702" w:rsidRDefault="006244DE" w:rsidP="00951015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bCs/>
          <w:iCs/>
          <w:color w:val="auto"/>
          <w:sz w:val="22"/>
          <w:szCs w:val="22"/>
        </w:rPr>
        <w:t>Anti-anxiety</w:t>
      </w:r>
    </w:p>
    <w:p w14:paraId="6A2FE56C" w14:textId="77777777" w:rsidR="006244DE" w:rsidRPr="00127702" w:rsidRDefault="006244DE" w:rsidP="00951015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bCs/>
          <w:iCs/>
          <w:color w:val="auto"/>
          <w:sz w:val="22"/>
          <w:szCs w:val="22"/>
        </w:rPr>
        <w:t>Hypnotic</w:t>
      </w:r>
    </w:p>
    <w:p w14:paraId="4A814370" w14:textId="77777777" w:rsidR="00366B62" w:rsidRPr="0091763A" w:rsidRDefault="00366B62" w:rsidP="00951015">
      <w:pPr>
        <w:spacing w:after="0" w:line="240" w:lineRule="auto"/>
        <w:ind w:left="720"/>
        <w:rPr>
          <w:rFonts w:ascii="Georgia" w:hAnsi="Georgia" w:cs="Arial"/>
          <w:b/>
        </w:rPr>
      </w:pPr>
    </w:p>
    <w:p w14:paraId="79D39916" w14:textId="77777777" w:rsidR="00951015" w:rsidRPr="00951015" w:rsidRDefault="007D240F" w:rsidP="00B2195E">
      <w:pPr>
        <w:numPr>
          <w:ilvl w:val="0"/>
          <w:numId w:val="1"/>
        </w:numPr>
        <w:ind w:left="720" w:hanging="540"/>
        <w:rPr>
          <w:rFonts w:ascii="Georgia" w:hAnsi="Georgia" w:cs="Arial"/>
        </w:rPr>
      </w:pPr>
      <w:r w:rsidRPr="0091763A">
        <w:rPr>
          <w:rFonts w:ascii="Avenir" w:hAnsi="Avenir" w:cs="Arial"/>
          <w:b/>
        </w:rPr>
        <w:t>Policy</w:t>
      </w:r>
    </w:p>
    <w:p w14:paraId="5C050C68" w14:textId="61FE74CC" w:rsidR="00B2195E" w:rsidRDefault="006244DE" w:rsidP="00951015">
      <w:pPr>
        <w:ind w:left="720"/>
        <w:rPr>
          <w:rFonts w:ascii="Georgia" w:hAnsi="Georgia" w:cs="Arial"/>
        </w:rPr>
      </w:pPr>
      <w:r w:rsidRPr="006244DE">
        <w:rPr>
          <w:rFonts w:ascii="Georgia" w:hAnsi="Georgia" w:cs="Arial"/>
        </w:rPr>
        <w:t>Psychotropic</w:t>
      </w:r>
      <w:r>
        <w:rPr>
          <w:rFonts w:ascii="Georgia" w:hAnsi="Georgia" w:cs="Arial"/>
        </w:rPr>
        <w:t xml:space="preserve"> medications will be administered pursuant to rule</w:t>
      </w:r>
      <w:r w:rsidRPr="006244DE">
        <w:rPr>
          <w:rFonts w:ascii="Georgia" w:hAnsi="Georgia" w:cs="Arial"/>
        </w:rPr>
        <w:t xml:space="preserve"> </w:t>
      </w:r>
      <w:r w:rsidRPr="006244DE">
        <w:rPr>
          <w:rFonts w:ascii="Georgia" w:hAnsi="Georgia"/>
          <w:bCs/>
        </w:rPr>
        <w:t>§483.</w:t>
      </w:r>
      <w:r w:rsidRPr="006244DE">
        <w:rPr>
          <w:rFonts w:ascii="Georgia" w:hAnsi="Georgia"/>
          <w:bCs/>
          <w:iCs/>
        </w:rPr>
        <w:t>45</w:t>
      </w:r>
      <w:r>
        <w:rPr>
          <w:rFonts w:ascii="Georgia" w:hAnsi="Georgia"/>
          <w:bCs/>
          <w:iCs/>
        </w:rPr>
        <w:t xml:space="preserve"> in the Code of Federal Regulations (CFR). </w:t>
      </w:r>
    </w:p>
    <w:p w14:paraId="48B9E120" w14:textId="77777777" w:rsidR="006244DE" w:rsidRPr="00B2195E" w:rsidRDefault="007D240F" w:rsidP="00B2195E">
      <w:pPr>
        <w:numPr>
          <w:ilvl w:val="0"/>
          <w:numId w:val="1"/>
        </w:numPr>
        <w:ind w:left="720" w:hanging="540"/>
        <w:rPr>
          <w:rFonts w:ascii="Georgia" w:hAnsi="Georgia" w:cs="Arial"/>
        </w:rPr>
      </w:pPr>
      <w:r w:rsidRPr="00B2195E">
        <w:rPr>
          <w:rFonts w:ascii="Avenir" w:hAnsi="Avenir" w:cs="Arial"/>
          <w:b/>
        </w:rPr>
        <w:t>Procedure</w:t>
      </w:r>
    </w:p>
    <w:p w14:paraId="1DFE5F52" w14:textId="77777777" w:rsidR="006244DE" w:rsidRPr="006244DE" w:rsidRDefault="006244DE" w:rsidP="00951015">
      <w:pPr>
        <w:numPr>
          <w:ilvl w:val="1"/>
          <w:numId w:val="1"/>
        </w:numPr>
        <w:spacing w:after="0" w:line="240" w:lineRule="auto"/>
        <w:ind w:left="1080"/>
        <w:rPr>
          <w:rFonts w:ascii="Avenir" w:hAnsi="Avenir" w:cs="Arial"/>
          <w:b/>
        </w:rPr>
      </w:pPr>
      <w:r w:rsidRPr="006244DE">
        <w:rPr>
          <w:rFonts w:ascii="Georgia" w:hAnsi="Georgia"/>
          <w:bCs/>
          <w:iCs/>
        </w:rPr>
        <w:t xml:space="preserve">Residents will only receive psychotropic drugs as a PRN order if that medication is necessary to treat a diagnosed specific condition that is documented in the clinical record. </w:t>
      </w:r>
    </w:p>
    <w:p w14:paraId="429B8656" w14:textId="77777777" w:rsidR="00B2195E" w:rsidRDefault="006244DE" w:rsidP="00951015">
      <w:pPr>
        <w:numPr>
          <w:ilvl w:val="2"/>
          <w:numId w:val="1"/>
        </w:numPr>
        <w:spacing w:after="0" w:line="240" w:lineRule="auto"/>
        <w:ind w:left="1440" w:hanging="360"/>
        <w:rPr>
          <w:rFonts w:ascii="Avenir" w:hAnsi="Avenir" w:cs="Arial"/>
          <w:b/>
        </w:rPr>
      </w:pPr>
      <w:r w:rsidRPr="006244DE">
        <w:rPr>
          <w:rFonts w:ascii="Georgia" w:hAnsi="Georgia"/>
          <w:bCs/>
          <w:iCs/>
        </w:rPr>
        <w:t>PRN orders for psychotropic drugs are limited to 14 days</w:t>
      </w:r>
      <w:r>
        <w:rPr>
          <w:rFonts w:ascii="Georgia" w:hAnsi="Georgia"/>
          <w:bCs/>
          <w:iCs/>
        </w:rPr>
        <w:t xml:space="preserve"> except </w:t>
      </w:r>
      <w:r w:rsidRPr="006244DE">
        <w:rPr>
          <w:rFonts w:ascii="Georgia" w:hAnsi="Georgia"/>
          <w:bCs/>
          <w:iCs/>
        </w:rPr>
        <w:t>if the attending physician or prescribing practitioner believes that it is appropriate for the PRN orde</w:t>
      </w:r>
      <w:r>
        <w:rPr>
          <w:rFonts w:ascii="Georgia" w:hAnsi="Georgia"/>
          <w:bCs/>
          <w:iCs/>
        </w:rPr>
        <w:t>r to be extended beyond 14 days then</w:t>
      </w:r>
      <w:r w:rsidRPr="006244DE">
        <w:rPr>
          <w:rFonts w:ascii="Georgia" w:hAnsi="Georgia"/>
          <w:bCs/>
          <w:iCs/>
        </w:rPr>
        <w:t xml:space="preserve"> he or she </w:t>
      </w:r>
      <w:r>
        <w:rPr>
          <w:rFonts w:ascii="Georgia" w:hAnsi="Georgia"/>
          <w:bCs/>
          <w:iCs/>
        </w:rPr>
        <w:t>will</w:t>
      </w:r>
      <w:r w:rsidRPr="006244DE">
        <w:rPr>
          <w:rFonts w:ascii="Georgia" w:hAnsi="Georgia"/>
          <w:bCs/>
          <w:iCs/>
        </w:rPr>
        <w:t xml:space="preserve"> document their rationale in the resident’s medical record and indicate the duration for the PRN order. </w:t>
      </w:r>
    </w:p>
    <w:p w14:paraId="637D57E6" w14:textId="77777777" w:rsidR="006244DE" w:rsidRPr="00FA24DC" w:rsidRDefault="00FA24DC" w:rsidP="00951015">
      <w:pPr>
        <w:numPr>
          <w:ilvl w:val="1"/>
          <w:numId w:val="1"/>
        </w:numPr>
        <w:spacing w:after="0" w:line="240" w:lineRule="auto"/>
        <w:ind w:left="1080"/>
        <w:rPr>
          <w:rFonts w:ascii="Georgia" w:hAnsi="Georgia" w:cs="Arial"/>
        </w:rPr>
      </w:pPr>
      <w:proofErr w:type="gramStart"/>
      <w:r>
        <w:rPr>
          <w:rFonts w:ascii="Georgia" w:hAnsi="Georgia"/>
          <w:bCs/>
          <w:iCs/>
        </w:rPr>
        <w:t>With regard to</w:t>
      </w:r>
      <w:proofErr w:type="gramEnd"/>
      <w:r>
        <w:rPr>
          <w:rFonts w:ascii="Georgia" w:hAnsi="Georgia"/>
          <w:bCs/>
          <w:iCs/>
        </w:rPr>
        <w:t xml:space="preserve"> </w:t>
      </w:r>
      <w:r w:rsidR="006244DE" w:rsidRPr="00B2195E">
        <w:rPr>
          <w:rFonts w:ascii="Georgia" w:hAnsi="Georgia"/>
          <w:bCs/>
          <w:iCs/>
        </w:rPr>
        <w:t xml:space="preserve">PRN orders for </w:t>
      </w:r>
      <w:r w:rsidR="006244DE" w:rsidRPr="00FA24DC">
        <w:rPr>
          <w:rFonts w:ascii="Georgia" w:hAnsi="Georgia"/>
          <w:b/>
          <w:bCs/>
          <w:iCs/>
          <w:u w:val="single"/>
        </w:rPr>
        <w:t>anti-psychotic</w:t>
      </w:r>
      <w:r w:rsidR="006244DE" w:rsidRPr="00FA24DC">
        <w:rPr>
          <w:rFonts w:ascii="Georgia" w:hAnsi="Georgia"/>
          <w:b/>
          <w:bCs/>
          <w:iCs/>
        </w:rPr>
        <w:t xml:space="preserve"> </w:t>
      </w:r>
      <w:r>
        <w:rPr>
          <w:rFonts w:ascii="Georgia" w:hAnsi="Georgia"/>
          <w:bCs/>
          <w:iCs/>
        </w:rPr>
        <w:t xml:space="preserve">medications, they </w:t>
      </w:r>
      <w:r w:rsidR="006244DE" w:rsidRPr="00B2195E">
        <w:rPr>
          <w:rFonts w:ascii="Georgia" w:hAnsi="Georgia"/>
          <w:bCs/>
          <w:iCs/>
        </w:rPr>
        <w:t xml:space="preserve">are limited to 14 days and </w:t>
      </w:r>
      <w:r w:rsidR="006244DE" w:rsidRPr="00B2195E">
        <w:rPr>
          <w:rFonts w:ascii="Georgia" w:hAnsi="Georgia"/>
          <w:b/>
          <w:bCs/>
          <w:iCs/>
        </w:rPr>
        <w:t xml:space="preserve">cannot </w:t>
      </w:r>
      <w:r w:rsidR="006244DE" w:rsidRPr="00B2195E">
        <w:rPr>
          <w:rFonts w:ascii="Georgia" w:hAnsi="Georgia"/>
          <w:bCs/>
          <w:iCs/>
        </w:rPr>
        <w:t>be renewed unless the attending physician or prescribing practitioner evaluates the resident for the app</w:t>
      </w:r>
      <w:r>
        <w:rPr>
          <w:rFonts w:ascii="Georgia" w:hAnsi="Georgia"/>
          <w:bCs/>
          <w:iCs/>
        </w:rPr>
        <w:t xml:space="preserve">ropriateness of that medication for another 14 days. The order must be rewritten by the practitioner. </w:t>
      </w:r>
    </w:p>
    <w:p w14:paraId="5AA1F768" w14:textId="77777777" w:rsidR="00FA24DC" w:rsidRPr="00B2195E" w:rsidRDefault="00FA24DC" w:rsidP="00951015">
      <w:pPr>
        <w:numPr>
          <w:ilvl w:val="1"/>
          <w:numId w:val="1"/>
        </w:numPr>
        <w:spacing w:after="0" w:line="240" w:lineRule="auto"/>
        <w:ind w:left="1080"/>
        <w:rPr>
          <w:rFonts w:ascii="Georgia" w:hAnsi="Georgia" w:cs="Arial"/>
        </w:rPr>
      </w:pPr>
      <w:r>
        <w:rPr>
          <w:rFonts w:ascii="Georgia" w:hAnsi="Georgia"/>
          <w:bCs/>
          <w:iCs/>
        </w:rPr>
        <w:t xml:space="preserve">No medications are to be used for “off label” purposes. They must be used for their intent and purpose. IE: Benadryl cannot be used for sedation; it must be used as an antihistamine only.  </w:t>
      </w:r>
    </w:p>
    <w:p w14:paraId="3547871A" w14:textId="77777777" w:rsidR="007D240F" w:rsidRPr="00636251" w:rsidRDefault="007D240F" w:rsidP="00951015">
      <w:pPr>
        <w:spacing w:after="0" w:line="240" w:lineRule="auto"/>
        <w:rPr>
          <w:rFonts w:ascii="Avenir Medium" w:hAnsi="Avenir Medium"/>
          <w:b/>
        </w:rPr>
      </w:pPr>
      <w:bookmarkStart w:id="0" w:name="_GoBack"/>
      <w:bookmarkEnd w:id="0"/>
    </w:p>
    <w:sectPr w:rsidR="007D240F" w:rsidRPr="00636251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8726" w14:textId="77777777" w:rsidR="008F14A6" w:rsidRDefault="008F14A6" w:rsidP="00004886">
      <w:pPr>
        <w:spacing w:after="0" w:line="240" w:lineRule="auto"/>
      </w:pPr>
      <w:r>
        <w:separator/>
      </w:r>
    </w:p>
  </w:endnote>
  <w:endnote w:type="continuationSeparator" w:id="0">
    <w:p w14:paraId="48097FFE" w14:textId="77777777" w:rsidR="008F14A6" w:rsidRDefault="008F14A6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B2EA696" w14:textId="738E85F3" w:rsidR="003C36C1" w:rsidRPr="00951015" w:rsidRDefault="003C36C1" w:rsidP="00951015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841BF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841BF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64C94">
              <w:rPr>
                <w:rFonts w:ascii="Avenir" w:hAnsi="Avenir"/>
                <w:b/>
                <w:noProof/>
              </w:rPr>
              <w:t>1</w:t>
            </w:r>
            <w:r w:rsidR="007841BF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841BF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841BF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64C94">
              <w:rPr>
                <w:rFonts w:ascii="Avenir" w:hAnsi="Avenir"/>
                <w:b/>
                <w:noProof/>
              </w:rPr>
              <w:t>2</w:t>
            </w:r>
            <w:r w:rsidR="007841BF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39CC" w14:textId="77777777" w:rsidR="008F14A6" w:rsidRDefault="008F14A6" w:rsidP="00004886">
      <w:pPr>
        <w:spacing w:after="0" w:line="240" w:lineRule="auto"/>
      </w:pPr>
      <w:r>
        <w:separator/>
      </w:r>
    </w:p>
  </w:footnote>
  <w:footnote w:type="continuationSeparator" w:id="0">
    <w:p w14:paraId="6EFC13FC" w14:textId="77777777" w:rsidR="008F14A6" w:rsidRDefault="008F14A6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8278" w14:textId="77777777" w:rsidR="003C36C1" w:rsidRDefault="00F10B92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CEF3F" wp14:editId="67D33028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9321D" w14:textId="77777777" w:rsidR="003C36C1" w:rsidRPr="0091763A" w:rsidRDefault="003C36C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 Nursing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DCEF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3029321D" w14:textId="77777777" w:rsidR="003C36C1" w:rsidRPr="0091763A" w:rsidRDefault="003C36C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 Nursing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C36C1">
      <w:rPr>
        <w:noProof/>
      </w:rPr>
      <w:drawing>
        <wp:inline distT="0" distB="0" distL="0" distR="0" wp14:anchorId="2BEB5A6E" wp14:editId="7EF8F703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6C1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5"/>
      <w:gridCol w:w="3118"/>
      <w:gridCol w:w="3117"/>
    </w:tblGrid>
    <w:tr w:rsidR="00951015" w:rsidRPr="00004886" w14:paraId="25F7D327" w14:textId="77777777" w:rsidTr="00951015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BB0BAB7" w14:textId="77777777" w:rsidR="00951015" w:rsidRPr="0091763A" w:rsidRDefault="00951015" w:rsidP="0095101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951015" w:rsidRPr="00004886" w14:paraId="7508E735" w14:textId="77777777" w:rsidTr="00951015">
      <w:trPr>
        <w:trHeight w:val="432"/>
      </w:trPr>
      <w:tc>
        <w:tcPr>
          <w:tcW w:w="9350" w:type="dxa"/>
          <w:gridSpan w:val="3"/>
          <w:vAlign w:val="center"/>
        </w:tcPr>
        <w:p w14:paraId="665564CD" w14:textId="77777777" w:rsidR="00951015" w:rsidRPr="00383057" w:rsidRDefault="00951015" w:rsidP="0095101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Psychotropic Medications </w:t>
          </w:r>
        </w:p>
      </w:tc>
    </w:tr>
    <w:tr w:rsidR="003C36C1" w:rsidRPr="00004886" w14:paraId="5F5C5217" w14:textId="77777777" w:rsidTr="00951015">
      <w:tc>
        <w:tcPr>
          <w:tcW w:w="3115" w:type="dxa"/>
          <w:shd w:val="clear" w:color="auto" w:fill="D9D9D9" w:themeFill="background1" w:themeFillShade="D9"/>
        </w:tcPr>
        <w:p w14:paraId="719ADB2E" w14:textId="77777777" w:rsidR="003C36C1" w:rsidRPr="0091763A" w:rsidRDefault="003C36C1" w:rsidP="003C36C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CD76886" w14:textId="77777777" w:rsidR="003C36C1" w:rsidRPr="0091763A" w:rsidRDefault="003C36C1" w:rsidP="003C36C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4ED1BD69" w14:textId="77777777" w:rsidR="003C36C1" w:rsidRPr="0091763A" w:rsidRDefault="003C36C1" w:rsidP="003C36C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3C36C1" w:rsidRPr="00004886" w14:paraId="2FB1A587" w14:textId="77777777" w:rsidTr="00951015">
      <w:tc>
        <w:tcPr>
          <w:tcW w:w="3115" w:type="dxa"/>
        </w:tcPr>
        <w:p w14:paraId="73C61A3D" w14:textId="3A4EAB53" w:rsidR="003C36C1" w:rsidRPr="00383057" w:rsidRDefault="003C36C1" w:rsidP="003C36C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11/15/</w:t>
          </w:r>
          <w:r w:rsidR="00951015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17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11E986DB" w14:textId="53DAF407" w:rsidR="003C36C1" w:rsidRPr="00383057" w:rsidRDefault="00951015" w:rsidP="003C36C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05/31/2023</w:t>
          </w:r>
        </w:p>
      </w:tc>
      <w:tc>
        <w:tcPr>
          <w:tcW w:w="3117" w:type="dxa"/>
        </w:tcPr>
        <w:p w14:paraId="46E73A3A" w14:textId="09119B00" w:rsidR="003C36C1" w:rsidRPr="00383057" w:rsidRDefault="00951015" w:rsidP="003C36C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B5185C">
            <w:rPr>
              <w:rFonts w:ascii="Georgia" w:eastAsiaTheme="minorHAnsi" w:hAnsi="Georgia" w:cstheme="minorBidi"/>
            </w:rPr>
            <w:t>3/</w:t>
          </w:r>
          <w:r>
            <w:rPr>
              <w:rFonts w:ascii="Georgia" w:eastAsiaTheme="minorHAnsi" w:hAnsi="Georgia" w:cstheme="minorBidi"/>
            </w:rPr>
            <w:t>0</w:t>
          </w:r>
          <w:r w:rsidR="00B5185C">
            <w:rPr>
              <w:rFonts w:ascii="Georgia" w:eastAsiaTheme="minorHAnsi" w:hAnsi="Georgia" w:cstheme="minorBidi"/>
            </w:rPr>
            <w:t>1/202</w:t>
          </w:r>
          <w:r w:rsidR="005C3ABA">
            <w:rPr>
              <w:rFonts w:ascii="Georgia" w:eastAsiaTheme="minorHAnsi" w:hAnsi="Georgia" w:cstheme="minorBidi"/>
            </w:rPr>
            <w:t>5</w:t>
          </w:r>
        </w:p>
      </w:tc>
    </w:tr>
    <w:tr w:rsidR="00951015" w:rsidRPr="00004886" w14:paraId="428E5B78" w14:textId="77777777" w:rsidTr="00951015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199563F" w14:textId="6B36E68B" w:rsidR="00951015" w:rsidRPr="0091763A" w:rsidRDefault="00951015" w:rsidP="0095101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951015" w:rsidRPr="00004886" w14:paraId="1F07FCC4" w14:textId="77777777" w:rsidTr="00951015">
      <w:trPr>
        <w:trHeight w:val="432"/>
      </w:trPr>
      <w:tc>
        <w:tcPr>
          <w:tcW w:w="9350" w:type="dxa"/>
          <w:gridSpan w:val="3"/>
          <w:vAlign w:val="center"/>
        </w:tcPr>
        <w:p w14:paraId="495362F4" w14:textId="1A4911A1" w:rsidR="00951015" w:rsidRPr="00383057" w:rsidRDefault="00951015" w:rsidP="0095101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3C36C1" w:rsidRPr="00004886" w14:paraId="7EDF45B5" w14:textId="77777777" w:rsidTr="00951015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078A1AE" w14:textId="77777777" w:rsidR="003C36C1" w:rsidRPr="0091763A" w:rsidRDefault="003C36C1" w:rsidP="003C36C1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3C36C1" w:rsidRPr="00004886" w14:paraId="59D6CD2F" w14:textId="77777777" w:rsidTr="00951015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682251E" w14:textId="77777777" w:rsidR="003C36C1" w:rsidRPr="00383057" w:rsidRDefault="003C36C1" w:rsidP="003C36C1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08A6363" w14:textId="77777777" w:rsidR="003C36C1" w:rsidRDefault="003C36C1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58DED1BA"/>
    <w:lvl w:ilvl="0" w:tplc="F76A220A">
      <w:start w:val="1"/>
      <w:numFmt w:val="upperRoman"/>
      <w:lvlText w:val="%1."/>
      <w:lvlJc w:val="left"/>
      <w:pPr>
        <w:ind w:left="1440" w:hanging="720"/>
      </w:pPr>
      <w:rPr>
        <w:rFonts w:ascii="Avenir" w:hAnsi="Avenir" w:hint="default"/>
      </w:rPr>
    </w:lvl>
    <w:lvl w:ilvl="1" w:tplc="56402EEE">
      <w:start w:val="1"/>
      <w:numFmt w:val="decimal"/>
      <w:lvlText w:val="%2."/>
      <w:lvlJc w:val="left"/>
      <w:pPr>
        <w:ind w:left="1800" w:hanging="360"/>
      </w:pPr>
      <w:rPr>
        <w:rFonts w:ascii="Georgia" w:eastAsia="Georgia" w:hAnsi="Georgia" w:hint="default"/>
        <w:b w:val="0"/>
        <w:spacing w:val="1"/>
        <w:sz w:val="22"/>
        <w:szCs w:val="22"/>
      </w:rPr>
    </w:lvl>
    <w:lvl w:ilvl="2" w:tplc="7362E854">
      <w:start w:val="1"/>
      <w:numFmt w:val="lowerLetter"/>
      <w:lvlText w:val="%3."/>
      <w:lvlJc w:val="left"/>
      <w:pPr>
        <w:ind w:left="2520" w:hanging="180"/>
      </w:pPr>
      <w:rPr>
        <w:rFonts w:ascii="Georgia" w:hAnsi="Georgia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927C02"/>
    <w:multiLevelType w:val="hybridMultilevel"/>
    <w:tmpl w:val="577CC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2174C0"/>
    <w:rsid w:val="002B3AA2"/>
    <w:rsid w:val="00366B62"/>
    <w:rsid w:val="00383057"/>
    <w:rsid w:val="0039149A"/>
    <w:rsid w:val="003A605C"/>
    <w:rsid w:val="003C36C1"/>
    <w:rsid w:val="004570D7"/>
    <w:rsid w:val="00466F44"/>
    <w:rsid w:val="00496194"/>
    <w:rsid w:val="004B00A2"/>
    <w:rsid w:val="004F7E1E"/>
    <w:rsid w:val="00580E29"/>
    <w:rsid w:val="005A1495"/>
    <w:rsid w:val="005C3ABA"/>
    <w:rsid w:val="006244DE"/>
    <w:rsid w:val="006318B2"/>
    <w:rsid w:val="00636251"/>
    <w:rsid w:val="0064513A"/>
    <w:rsid w:val="006772EC"/>
    <w:rsid w:val="00721119"/>
    <w:rsid w:val="007841BF"/>
    <w:rsid w:val="007D240F"/>
    <w:rsid w:val="007E7D2B"/>
    <w:rsid w:val="00806F6F"/>
    <w:rsid w:val="00857EA6"/>
    <w:rsid w:val="008A6672"/>
    <w:rsid w:val="008F14A6"/>
    <w:rsid w:val="008F49D4"/>
    <w:rsid w:val="00914055"/>
    <w:rsid w:val="0091763A"/>
    <w:rsid w:val="009342A6"/>
    <w:rsid w:val="00951015"/>
    <w:rsid w:val="00AC317F"/>
    <w:rsid w:val="00AF7CAE"/>
    <w:rsid w:val="00B2195E"/>
    <w:rsid w:val="00B5185C"/>
    <w:rsid w:val="00BA51C0"/>
    <w:rsid w:val="00C70850"/>
    <w:rsid w:val="00DD17C5"/>
    <w:rsid w:val="00E547EA"/>
    <w:rsid w:val="00E64C94"/>
    <w:rsid w:val="00E810E1"/>
    <w:rsid w:val="00F107CD"/>
    <w:rsid w:val="00F10B92"/>
    <w:rsid w:val="00F53FEA"/>
    <w:rsid w:val="00F621D9"/>
    <w:rsid w:val="00FA24DC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6CF27"/>
  <w15:docId w15:val="{B6398E8E-ED6C-4005-90DF-4828692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paragraph" w:customStyle="1" w:styleId="Default">
    <w:name w:val="Default"/>
    <w:rsid w:val="006244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5</cp:revision>
  <dcterms:created xsi:type="dcterms:W3CDTF">2023-05-31T14:32:00Z</dcterms:created>
  <dcterms:modified xsi:type="dcterms:W3CDTF">2023-06-12T19:08:00Z</dcterms:modified>
</cp:coreProperties>
</file>