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C7685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PURPOSE</w:t>
      </w:r>
      <w:bookmarkStart w:id="0" w:name="_GoBack"/>
      <w:bookmarkEnd w:id="0"/>
    </w:p>
    <w:p w14:paraId="5EEB8842" w14:textId="77777777" w:rsidR="003D03B4" w:rsidRDefault="003D03B4" w:rsidP="006E68FD">
      <w:pPr>
        <w:spacing w:after="0" w:line="240" w:lineRule="auto"/>
        <w:rPr>
          <w:rFonts w:ascii="Georgia" w:eastAsia="Times New Roman" w:hAnsi="Georgia"/>
        </w:rPr>
      </w:pPr>
    </w:p>
    <w:p w14:paraId="0CD731CF" w14:textId="77777777" w:rsidR="006E68FD" w:rsidRPr="006E68FD" w:rsidRDefault="006E68FD" w:rsidP="006E68FD">
      <w:pPr>
        <w:spacing w:after="0" w:line="240" w:lineRule="auto"/>
        <w:rPr>
          <w:rFonts w:ascii="Georgia" w:eastAsia="Times New Roman" w:hAnsi="Georgia"/>
        </w:rPr>
      </w:pPr>
      <w:r w:rsidRPr="006E68FD">
        <w:rPr>
          <w:rFonts w:ascii="Georgia" w:eastAsia="Times New Roman" w:hAnsi="Georgia"/>
        </w:rPr>
        <w:t>To encourage awareness of patient privacy rights and Ohio Living Home Health &amp; Hospice legal duties with respect to these rights and the use and disclosure of protected health information (PHI).</w:t>
      </w:r>
    </w:p>
    <w:p w14:paraId="369E7FE8" w14:textId="77777777" w:rsidR="00CB5CE9" w:rsidRDefault="00CB5CE9" w:rsidP="00126981">
      <w:pPr>
        <w:spacing w:after="0" w:line="240" w:lineRule="auto"/>
      </w:pPr>
    </w:p>
    <w:p w14:paraId="799DB979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POLICY</w:t>
      </w:r>
    </w:p>
    <w:p w14:paraId="32E16120" w14:textId="77777777" w:rsidR="003D03B4" w:rsidRDefault="003D03B4" w:rsidP="006E68FD">
      <w:pPr>
        <w:spacing w:after="0" w:line="240" w:lineRule="auto"/>
        <w:rPr>
          <w:rFonts w:ascii="Georgia" w:eastAsia="Times New Roman" w:hAnsi="Georgia"/>
        </w:rPr>
      </w:pPr>
    </w:p>
    <w:p w14:paraId="0B57E05F" w14:textId="77777777" w:rsidR="006E68FD" w:rsidRPr="006E68FD" w:rsidRDefault="006E68FD" w:rsidP="006E68FD">
      <w:pPr>
        <w:spacing w:after="0" w:line="240" w:lineRule="auto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/>
        </w:rPr>
        <w:t>Ohio Living Home Health &amp; Hospice will respect and safeguard all protected health information of the patients it serves.</w:t>
      </w:r>
    </w:p>
    <w:p w14:paraId="45474486" w14:textId="77777777" w:rsidR="006E68FD" w:rsidRPr="006E68FD" w:rsidRDefault="006E68FD" w:rsidP="006E68FD">
      <w:pPr>
        <w:spacing w:after="0" w:line="240" w:lineRule="auto"/>
        <w:rPr>
          <w:rFonts w:ascii="Georgia" w:eastAsia="Times New Roman" w:hAnsi="Georgia"/>
        </w:rPr>
      </w:pPr>
    </w:p>
    <w:p w14:paraId="5A1CA25E" w14:textId="715EF65D" w:rsidR="006E68FD" w:rsidRPr="006E68FD" w:rsidRDefault="006E68FD" w:rsidP="006E68FD">
      <w:pPr>
        <w:spacing w:after="0" w:line="240" w:lineRule="auto"/>
        <w:rPr>
          <w:rFonts w:ascii="Georgia" w:eastAsia="Times New Roman" w:hAnsi="Georgia"/>
        </w:rPr>
      </w:pPr>
      <w:r w:rsidRPr="006E68FD">
        <w:rPr>
          <w:rFonts w:ascii="Georgia" w:eastAsia="Times New Roman" w:hAnsi="Georgia"/>
        </w:rPr>
        <w:t xml:space="preserve">Each patient will be provided with information about </w:t>
      </w:r>
      <w:r w:rsidR="00E46C23">
        <w:rPr>
          <w:rFonts w:ascii="Georgia" w:eastAsia="Times New Roman" w:hAnsi="Georgia"/>
        </w:rPr>
        <w:t>their</w:t>
      </w:r>
      <w:r w:rsidRPr="006E68FD">
        <w:rPr>
          <w:rFonts w:ascii="Georgia" w:eastAsia="Times New Roman" w:hAnsi="Georgia"/>
        </w:rPr>
        <w:t xml:space="preserve"> privacy rights at the time of admission to Ohio Living Home Health &amp; Hospice.</w:t>
      </w:r>
    </w:p>
    <w:p w14:paraId="178DDA40" w14:textId="77777777" w:rsidR="006E68FD" w:rsidRPr="006E68FD" w:rsidRDefault="006E68FD" w:rsidP="006E68FD">
      <w:pPr>
        <w:spacing w:after="0" w:line="240" w:lineRule="auto"/>
        <w:rPr>
          <w:rFonts w:ascii="Georgia" w:eastAsia="Times New Roman" w:hAnsi="Georgia"/>
        </w:rPr>
      </w:pPr>
    </w:p>
    <w:p w14:paraId="37FA8485" w14:textId="50F1C12B" w:rsidR="006E68FD" w:rsidRPr="006E68FD" w:rsidRDefault="006E68FD" w:rsidP="006E68FD">
      <w:pPr>
        <w:spacing w:after="0" w:line="240" w:lineRule="auto"/>
        <w:rPr>
          <w:rFonts w:ascii="Georgia" w:eastAsia="Times New Roman" w:hAnsi="Georgia"/>
        </w:rPr>
      </w:pPr>
      <w:r w:rsidRPr="006E68FD">
        <w:rPr>
          <w:rFonts w:ascii="Georgia" w:eastAsia="Times New Roman" w:hAnsi="Georgia"/>
        </w:rPr>
        <w:t xml:space="preserve">To assist with fully understanding patient privacy rights and responsibilities, all </w:t>
      </w:r>
      <w:r w:rsidR="009E78E9">
        <w:rPr>
          <w:rFonts w:ascii="Georgia" w:eastAsia="Times New Roman" w:hAnsi="Georgia"/>
        </w:rPr>
        <w:t xml:space="preserve">related </w:t>
      </w:r>
      <w:r w:rsidRPr="006E68FD">
        <w:rPr>
          <w:rFonts w:ascii="Georgia" w:eastAsia="Times New Roman" w:hAnsi="Georgia"/>
        </w:rPr>
        <w:t>policies will be available to the organization personnel, patients, and their representatives as well as other organizations and the interested public.</w:t>
      </w:r>
    </w:p>
    <w:p w14:paraId="20BAAFCB" w14:textId="77777777" w:rsidR="003D03B4" w:rsidRPr="003D03B4" w:rsidRDefault="003D03B4" w:rsidP="00126981">
      <w:pPr>
        <w:keepNext/>
        <w:spacing w:after="0" w:line="240" w:lineRule="auto"/>
        <w:outlineLvl w:val="2"/>
        <w:rPr>
          <w:rFonts w:ascii="Georgia" w:eastAsia="PMingLiU" w:hAnsi="Georgia"/>
          <w:b/>
          <w:bCs/>
          <w:caps/>
          <w:szCs w:val="28"/>
        </w:rPr>
      </w:pPr>
    </w:p>
    <w:p w14:paraId="34F6D18B" w14:textId="77777777" w:rsidR="00126981" w:rsidRPr="00126981" w:rsidRDefault="00126981" w:rsidP="00126981">
      <w:pPr>
        <w:keepNext/>
        <w:spacing w:after="0" w:line="240" w:lineRule="auto"/>
        <w:outlineLvl w:val="2"/>
        <w:rPr>
          <w:rFonts w:ascii="Avenir" w:eastAsia="PMingLiU" w:hAnsi="Avenir"/>
          <w:b/>
          <w:bCs/>
          <w:caps/>
          <w:sz w:val="28"/>
          <w:szCs w:val="28"/>
        </w:rPr>
      </w:pPr>
      <w:r w:rsidRPr="00126981">
        <w:rPr>
          <w:rFonts w:ascii="Avenir" w:eastAsia="PMingLiU" w:hAnsi="Avenir"/>
          <w:b/>
          <w:bCs/>
          <w:caps/>
          <w:sz w:val="28"/>
          <w:szCs w:val="28"/>
        </w:rPr>
        <w:t>PROCEDURE</w:t>
      </w:r>
    </w:p>
    <w:p w14:paraId="7BD19051" w14:textId="77777777" w:rsidR="000523CE" w:rsidRDefault="000523CE" w:rsidP="000523CE">
      <w:pPr>
        <w:spacing w:after="0" w:line="240" w:lineRule="auto"/>
        <w:ind w:left="432"/>
        <w:rPr>
          <w:rFonts w:ascii="Georgia" w:eastAsia="Times New Roman" w:hAnsi="Georgia"/>
        </w:rPr>
      </w:pPr>
    </w:p>
    <w:p w14:paraId="319A76ED" w14:textId="631E3961" w:rsidR="006E68FD" w:rsidRPr="006E68FD" w:rsidRDefault="006E68FD" w:rsidP="006E68F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/>
        </w:rPr>
      </w:pPr>
      <w:r w:rsidRPr="006E68FD">
        <w:rPr>
          <w:rFonts w:ascii="Georgia" w:eastAsia="Times New Roman" w:hAnsi="Georgia"/>
        </w:rPr>
        <w:t xml:space="preserve">The patient will be provided with information about </w:t>
      </w:r>
      <w:r w:rsidR="00E46C23">
        <w:rPr>
          <w:rFonts w:ascii="Georgia" w:eastAsia="Times New Roman" w:hAnsi="Georgia"/>
        </w:rPr>
        <w:t>their</w:t>
      </w:r>
      <w:r w:rsidRPr="006E68FD">
        <w:rPr>
          <w:rFonts w:ascii="Georgia" w:eastAsia="Times New Roman" w:hAnsi="Georgia"/>
        </w:rPr>
        <w:t xml:space="preserve"> privacy rights in the organization’s Notice of Privacy Practices, which will be given to the patient during the admission visit. The patient’s privacy rights include:</w:t>
      </w:r>
    </w:p>
    <w:p w14:paraId="0DD1338C" w14:textId="77777777" w:rsidR="006E68FD" w:rsidRPr="006E68FD" w:rsidRDefault="006E68FD" w:rsidP="006E68FD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/>
        </w:rPr>
      </w:pPr>
      <w:r w:rsidRPr="006E68FD">
        <w:rPr>
          <w:rFonts w:ascii="Georgia" w:eastAsia="Times New Roman" w:hAnsi="Georgia"/>
        </w:rPr>
        <w:t>The right to adequate notice of the uses and disclosures of protected health information that may be made by Ohio Living Home Health &amp; Hospice.</w:t>
      </w:r>
    </w:p>
    <w:p w14:paraId="2DB34658" w14:textId="77777777" w:rsidR="006E68FD" w:rsidRPr="006E68FD" w:rsidRDefault="006E68FD" w:rsidP="006E68FD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The right to </w:t>
      </w:r>
      <w:r w:rsidRPr="006E68FD">
        <w:rPr>
          <w:rFonts w:ascii="Georgia" w:eastAsia="Times New Roman" w:hAnsi="Georgia"/>
        </w:rPr>
        <w:t>request</w:t>
      </w:r>
      <w:r w:rsidRPr="006E68FD">
        <w:rPr>
          <w:rFonts w:ascii="Georgia" w:eastAsia="Times New Roman" w:hAnsi="Georgia" w:cs="Arial"/>
        </w:rPr>
        <w:t xml:space="preserve"> privacy protection for protected health information. </w:t>
      </w:r>
    </w:p>
    <w:p w14:paraId="519E788E" w14:textId="77777777" w:rsidR="006E68FD" w:rsidRPr="006E68FD" w:rsidRDefault="006E68FD" w:rsidP="006E68FD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The right to </w:t>
      </w:r>
      <w:r w:rsidRPr="006E68FD">
        <w:rPr>
          <w:rFonts w:ascii="Georgia" w:eastAsia="Times New Roman" w:hAnsi="Georgia"/>
        </w:rPr>
        <w:t>access</w:t>
      </w:r>
      <w:r w:rsidRPr="006E68FD">
        <w:rPr>
          <w:rFonts w:ascii="Georgia" w:eastAsia="Times New Roman" w:hAnsi="Georgia" w:cs="Arial"/>
        </w:rPr>
        <w:t xml:space="preserve"> to inspect and retain a copy of his/her protected health information. </w:t>
      </w:r>
    </w:p>
    <w:p w14:paraId="4783D094" w14:textId="77777777" w:rsidR="006E68FD" w:rsidRPr="006E68FD" w:rsidRDefault="006E68FD" w:rsidP="006E68FD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The right to </w:t>
      </w:r>
      <w:r w:rsidRPr="006E68FD">
        <w:rPr>
          <w:rFonts w:ascii="Georgia" w:eastAsia="Times New Roman" w:hAnsi="Georgia"/>
        </w:rPr>
        <w:t>request</w:t>
      </w:r>
      <w:r w:rsidRPr="006E68FD">
        <w:rPr>
          <w:rFonts w:ascii="Georgia" w:eastAsia="Times New Roman" w:hAnsi="Georgia" w:cs="Arial"/>
        </w:rPr>
        <w:t xml:space="preserve"> that the organization amend protected health information or a record about the individual in a designated record set for as long as the protected health information is maintained in the designated record set. </w:t>
      </w:r>
    </w:p>
    <w:p w14:paraId="26E5944F" w14:textId="77777777" w:rsidR="006E68FD" w:rsidRPr="006E68FD" w:rsidRDefault="006E68FD" w:rsidP="006E68FD">
      <w:pPr>
        <w:numPr>
          <w:ilvl w:val="1"/>
          <w:numId w:val="5"/>
        </w:numPr>
        <w:spacing w:after="0" w:line="240" w:lineRule="auto"/>
        <w:ind w:left="864" w:hanging="432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lastRenderedPageBreak/>
        <w:t xml:space="preserve">The right to receive an accounting of disclosures of protected health information made by Ohio Living Home Health &amp; Hospice. </w:t>
      </w:r>
    </w:p>
    <w:p w14:paraId="50776CAC" w14:textId="198C3826" w:rsidR="006E68FD" w:rsidRPr="006E68FD" w:rsidRDefault="006E68FD" w:rsidP="006E68F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Ohio Living Home Health &amp; Hospice will make a good faith effort to obtain the patient’s written acknowledgement of receipt of this notice. If an acknowledgement cannot be obtained, the admitting clinician will document </w:t>
      </w:r>
      <w:r w:rsidR="00E46C23">
        <w:rPr>
          <w:rFonts w:ascii="Georgia" w:eastAsia="Times New Roman" w:hAnsi="Georgia" w:cs="Arial"/>
        </w:rPr>
        <w:t>their</w:t>
      </w:r>
      <w:r w:rsidRPr="006E68FD">
        <w:rPr>
          <w:rFonts w:ascii="Georgia" w:eastAsia="Times New Roman" w:hAnsi="Georgia" w:cs="Arial"/>
        </w:rPr>
        <w:t xml:space="preserve"> efforts to obtain the acknowledgement and the reason why it was not obtained in the clinical note.</w:t>
      </w:r>
    </w:p>
    <w:p w14:paraId="1090D163" w14:textId="77777777" w:rsidR="006E68FD" w:rsidRPr="006E68FD" w:rsidRDefault="006E68FD" w:rsidP="006E68F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The </w:t>
      </w:r>
      <w:r w:rsidRPr="006E68FD">
        <w:rPr>
          <w:rFonts w:ascii="Georgia" w:eastAsia="Times New Roman" w:hAnsi="Georgia"/>
        </w:rPr>
        <w:t>notice</w:t>
      </w:r>
      <w:r w:rsidRPr="006E68FD">
        <w:rPr>
          <w:rFonts w:ascii="Georgia" w:eastAsia="Times New Roman" w:hAnsi="Georgia" w:cs="Arial"/>
        </w:rPr>
        <w:t xml:space="preserve"> will be promptly revised and distributed whenever there is a material change to the uses or disclosures, the individual’s rights, organization’s legal duties, or other privacy practices stated in the notice. </w:t>
      </w:r>
    </w:p>
    <w:p w14:paraId="1EBD80B5" w14:textId="77777777" w:rsidR="006E68FD" w:rsidRPr="006E68FD" w:rsidRDefault="006E68FD" w:rsidP="006E68F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/>
        </w:rPr>
        <w:t xml:space="preserve">Ohio Living Home Health &amp; Hospice </w:t>
      </w:r>
      <w:r w:rsidRPr="006E68FD">
        <w:rPr>
          <w:rFonts w:ascii="Georgia" w:eastAsia="Times New Roman" w:hAnsi="Georgia" w:cs="Arial"/>
        </w:rPr>
        <w:t xml:space="preserve">will prominently post the notice and make the notice available through its website. </w:t>
      </w:r>
    </w:p>
    <w:p w14:paraId="66FF6D01" w14:textId="77777777" w:rsidR="006E68FD" w:rsidRDefault="006E68FD" w:rsidP="006E68F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The </w:t>
      </w:r>
      <w:r w:rsidRPr="006E68FD">
        <w:rPr>
          <w:rFonts w:ascii="Georgia" w:eastAsia="Times New Roman" w:hAnsi="Georgia"/>
        </w:rPr>
        <w:t>patient’s</w:t>
      </w:r>
      <w:r w:rsidRPr="006E68FD">
        <w:rPr>
          <w:rFonts w:ascii="Georgia" w:eastAsia="Times New Roman" w:hAnsi="Georgia" w:cs="Arial"/>
        </w:rPr>
        <w:t xml:space="preserve"> legal representative may exercise the patient’s rights when a patient is incompetent or a minor.</w:t>
      </w:r>
    </w:p>
    <w:p w14:paraId="7005A39D" w14:textId="0B3F41C9" w:rsidR="00126981" w:rsidRPr="006E68FD" w:rsidRDefault="006E68FD" w:rsidP="006E68FD">
      <w:pPr>
        <w:numPr>
          <w:ilvl w:val="0"/>
          <w:numId w:val="5"/>
        </w:numPr>
        <w:spacing w:after="0" w:line="240" w:lineRule="auto"/>
        <w:rPr>
          <w:rFonts w:ascii="Georgia" w:eastAsia="Times New Roman" w:hAnsi="Georgia" w:cs="Arial"/>
        </w:rPr>
      </w:pPr>
      <w:r w:rsidRPr="006E68FD">
        <w:rPr>
          <w:rFonts w:ascii="Georgia" w:eastAsia="Times New Roman" w:hAnsi="Georgia" w:cs="Arial"/>
        </w:rPr>
        <w:t xml:space="preserve">When a </w:t>
      </w:r>
      <w:r w:rsidRPr="006E68FD">
        <w:rPr>
          <w:rFonts w:ascii="Georgia" w:eastAsia="Times New Roman" w:hAnsi="Georgia"/>
        </w:rPr>
        <w:t>patient</w:t>
      </w:r>
      <w:r w:rsidRPr="006E68FD">
        <w:rPr>
          <w:rFonts w:ascii="Georgia" w:eastAsia="Times New Roman" w:hAnsi="Georgia" w:cs="Arial"/>
        </w:rPr>
        <w:t xml:space="preserve"> has questions about </w:t>
      </w:r>
      <w:r w:rsidR="00E46C23">
        <w:rPr>
          <w:rFonts w:ascii="Georgia" w:eastAsia="Times New Roman" w:hAnsi="Georgia" w:cs="Arial"/>
        </w:rPr>
        <w:t>their</w:t>
      </w:r>
      <w:r w:rsidRPr="006E68FD">
        <w:rPr>
          <w:rFonts w:ascii="Georgia" w:eastAsia="Times New Roman" w:hAnsi="Georgia" w:cs="Arial"/>
        </w:rPr>
        <w:t xml:space="preserve"> privacy rights, requests additional information, or would like to exercise one (1) of these rights, </w:t>
      </w:r>
      <w:r w:rsidR="00E46C23">
        <w:rPr>
          <w:rFonts w:ascii="Georgia" w:eastAsia="Times New Roman" w:hAnsi="Georgia" w:cs="Arial"/>
        </w:rPr>
        <w:t>they</w:t>
      </w:r>
      <w:r w:rsidRPr="006E68FD">
        <w:rPr>
          <w:rFonts w:ascii="Georgia" w:eastAsia="Times New Roman" w:hAnsi="Georgia" w:cs="Arial"/>
        </w:rPr>
        <w:t xml:space="preserve"> will be referred to the appropriate individual or office designated by Ohio Living Home Health &amp; Hospice on the Notice of Privacy Practices.</w:t>
      </w:r>
    </w:p>
    <w:sectPr w:rsidR="00126981" w:rsidRPr="006E68FD" w:rsidSect="009940A2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79E58" w14:textId="77777777" w:rsidR="007251F2" w:rsidRDefault="007251F2" w:rsidP="00004886">
      <w:pPr>
        <w:spacing w:after="0" w:line="240" w:lineRule="auto"/>
      </w:pPr>
      <w:r>
        <w:separator/>
      </w:r>
    </w:p>
  </w:endnote>
  <w:endnote w:type="continuationSeparator" w:id="0">
    <w:p w14:paraId="3C9BB1A2" w14:textId="77777777" w:rsidR="007251F2" w:rsidRDefault="007251F2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060976195"/>
      <w:docPartObj>
        <w:docPartGallery w:val="Page Numbers (Top of Page)"/>
        <w:docPartUnique/>
      </w:docPartObj>
    </w:sdtPr>
    <w:sdtEndPr/>
    <w:sdtContent>
      <w:p w14:paraId="407068DF" w14:textId="77777777" w:rsidR="009940A2" w:rsidRPr="009940A2" w:rsidRDefault="009940A2" w:rsidP="009940A2">
        <w:pPr>
          <w:pStyle w:val="Footer"/>
          <w:jc w:val="right"/>
          <w:rPr>
            <w:rFonts w:ascii="Avenir" w:hAnsi="Avenir"/>
          </w:rPr>
        </w:pPr>
        <w:r w:rsidRPr="0091763A">
          <w:rPr>
            <w:rFonts w:ascii="Avenir" w:hAnsi="Avenir"/>
          </w:rPr>
          <w:t xml:space="preserve">Page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PAGE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1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  <w:r w:rsidRPr="0091763A">
          <w:rPr>
            <w:rFonts w:ascii="Avenir" w:hAnsi="Avenir"/>
          </w:rPr>
          <w:t xml:space="preserve"> of </w:t>
        </w:r>
        <w:r w:rsidRPr="0091763A">
          <w:rPr>
            <w:rFonts w:ascii="Avenir" w:hAnsi="Avenir"/>
            <w:b/>
            <w:sz w:val="24"/>
            <w:szCs w:val="24"/>
          </w:rPr>
          <w:fldChar w:fldCharType="begin"/>
        </w:r>
        <w:r w:rsidRPr="0091763A">
          <w:rPr>
            <w:rFonts w:ascii="Avenir" w:hAnsi="Avenir"/>
            <w:b/>
          </w:rPr>
          <w:instrText xml:space="preserve"> NUMPAGES  </w:instrText>
        </w:r>
        <w:r w:rsidRPr="0091763A">
          <w:rPr>
            <w:rFonts w:ascii="Avenir" w:hAnsi="Avenir"/>
            <w:b/>
            <w:sz w:val="24"/>
            <w:szCs w:val="24"/>
          </w:rPr>
          <w:fldChar w:fldCharType="separate"/>
        </w:r>
        <w:r>
          <w:rPr>
            <w:rFonts w:ascii="Avenir" w:hAnsi="Avenir"/>
            <w:b/>
            <w:sz w:val="24"/>
            <w:szCs w:val="24"/>
          </w:rPr>
          <w:t>2</w:t>
        </w:r>
        <w:r w:rsidRPr="0091763A">
          <w:rPr>
            <w:rFonts w:ascii="Avenir" w:hAnsi="Avenir"/>
            <w:b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6153942" w14:textId="77777777" w:rsidR="003A605C" w:rsidRPr="009940A2" w:rsidRDefault="003A605C" w:rsidP="009940A2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AA4F8A">
              <w:rPr>
                <w:rFonts w:ascii="Avenir" w:hAnsi="Avenir"/>
                <w:b/>
                <w:noProof/>
              </w:rPr>
              <w:t>1</w:t>
            </w:r>
            <w:r w:rsidR="00744C01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2BF97" w14:textId="77777777" w:rsidR="007251F2" w:rsidRDefault="007251F2" w:rsidP="00004886">
      <w:pPr>
        <w:spacing w:after="0" w:line="240" w:lineRule="auto"/>
      </w:pPr>
      <w:r>
        <w:separator/>
      </w:r>
    </w:p>
  </w:footnote>
  <w:footnote w:type="continuationSeparator" w:id="0">
    <w:p w14:paraId="664845AB" w14:textId="77777777" w:rsidR="007251F2" w:rsidRDefault="007251F2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D567B" w14:textId="77777777" w:rsidR="003A605C" w:rsidRDefault="006E68FD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79BFCA5" wp14:editId="763809F9">
              <wp:simplePos x="0" y="0"/>
              <wp:positionH relativeFrom="column">
                <wp:posOffset>2705100</wp:posOffset>
              </wp:positionH>
              <wp:positionV relativeFrom="paragraph">
                <wp:posOffset>87630</wp:posOffset>
              </wp:positionV>
              <wp:extent cx="358394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394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35CF5F" w14:textId="77777777" w:rsidR="003A605C" w:rsidRPr="0091763A" w:rsidRDefault="00FD6071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 and Hospice Core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13pt;margin-top:6.9pt;width:282.2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" stroked="f">
              <v:textbox style="mso-fit-shape-to-text:t">
                <w:txbxContent>
                  <w:p w:rsidR="003A605C" w:rsidRPr="0091763A" w:rsidRDefault="00FD6071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 and Hospice Core Policy</w:t>
                    </w:r>
                  </w:p>
                </w:txbxContent>
              </v:textbox>
            </v:shape>
          </w:pict>
        </mc:Fallback>
      </mc:AlternateContent>
    </w:r>
    <w:r w:rsidR="00857EA6">
      <w:rPr>
        <w:noProof/>
      </w:rPr>
      <w:drawing>
        <wp:inline distT="0" distB="0" distL="0" distR="0" wp14:anchorId="5EE392F6" wp14:editId="5B89CACC">
          <wp:extent cx="2125229" cy="548640"/>
          <wp:effectExtent l="19050" t="0" r="8371" b="0"/>
          <wp:docPr id="3" name="Picture 2" descr="OL-Corporate Black 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L-Corporate Black smal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252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A605C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20"/>
      <w:gridCol w:w="3116"/>
      <w:gridCol w:w="3114"/>
    </w:tblGrid>
    <w:tr w:rsidR="009940A2" w:rsidRPr="00004886" w14:paraId="2033CD42" w14:textId="77777777" w:rsidTr="009940A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30BB658E" w14:textId="77777777" w:rsidR="009940A2" w:rsidRPr="0091763A" w:rsidRDefault="009940A2" w:rsidP="009940A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9940A2" w:rsidRPr="00004886" w14:paraId="4837B300" w14:textId="77777777" w:rsidTr="009940A2">
      <w:trPr>
        <w:trHeight w:val="432"/>
      </w:trPr>
      <w:tc>
        <w:tcPr>
          <w:tcW w:w="9350" w:type="dxa"/>
          <w:gridSpan w:val="3"/>
          <w:vAlign w:val="center"/>
        </w:tcPr>
        <w:p w14:paraId="7E561A31" w14:textId="77777777" w:rsidR="009940A2" w:rsidRPr="00383057" w:rsidRDefault="009940A2" w:rsidP="009940A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Protected Health Information</w:t>
          </w:r>
        </w:p>
      </w:tc>
    </w:tr>
    <w:tr w:rsidR="00017F74" w:rsidRPr="00004886" w14:paraId="6DE45A3B" w14:textId="77777777" w:rsidTr="009940A2">
      <w:tc>
        <w:tcPr>
          <w:tcW w:w="3120" w:type="dxa"/>
          <w:shd w:val="clear" w:color="auto" w:fill="D9D9D9" w:themeFill="background1" w:themeFillShade="D9"/>
        </w:tcPr>
        <w:p w14:paraId="1BDAE1B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6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3712E83A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4" w:type="dxa"/>
          <w:shd w:val="clear" w:color="auto" w:fill="D9D9D9" w:themeFill="background1" w:themeFillShade="D9"/>
        </w:tcPr>
        <w:p w14:paraId="6B63C75E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017F74" w:rsidRPr="00004886" w14:paraId="7BCC5CE1" w14:textId="77777777" w:rsidTr="009940A2">
      <w:tc>
        <w:tcPr>
          <w:tcW w:w="3120" w:type="dxa"/>
        </w:tcPr>
        <w:p w14:paraId="6C6677A7" w14:textId="77777777" w:rsidR="00017F74" w:rsidRPr="00383057" w:rsidRDefault="00126981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12/28/2015</w:t>
          </w:r>
        </w:p>
      </w:tc>
      <w:tc>
        <w:tcPr>
          <w:tcW w:w="3116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32092300" w14:textId="3F76D6D5" w:rsidR="00017F74" w:rsidRPr="00383057" w:rsidRDefault="005E142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01/19/2024</w:t>
          </w:r>
        </w:p>
      </w:tc>
      <w:tc>
        <w:tcPr>
          <w:tcW w:w="3114" w:type="dxa"/>
        </w:tcPr>
        <w:p w14:paraId="23908F0B" w14:textId="4468A479" w:rsidR="00017F74" w:rsidRPr="00383057" w:rsidRDefault="005E142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01/19/2026</w:t>
          </w:r>
        </w:p>
      </w:tc>
    </w:tr>
    <w:tr w:rsidR="009940A2" w:rsidRPr="00004886" w14:paraId="1F358303" w14:textId="77777777" w:rsidTr="009940A2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6A14134E" w14:textId="77777777" w:rsidR="009940A2" w:rsidRPr="0091763A" w:rsidRDefault="009940A2" w:rsidP="009940A2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9940A2" w:rsidRPr="00004886" w14:paraId="22621430" w14:textId="77777777" w:rsidTr="009940A2">
      <w:trPr>
        <w:trHeight w:val="576"/>
      </w:trPr>
      <w:tc>
        <w:tcPr>
          <w:tcW w:w="9350" w:type="dxa"/>
          <w:gridSpan w:val="3"/>
          <w:vAlign w:val="center"/>
        </w:tcPr>
        <w:p w14:paraId="62EFBE3D" w14:textId="77777777" w:rsidR="009940A2" w:rsidRPr="00383057" w:rsidRDefault="009940A2" w:rsidP="009940A2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017F74" w:rsidRPr="00004886" w14:paraId="39270942" w14:textId="77777777" w:rsidTr="009940A2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27AD29BD" w14:textId="77777777" w:rsidR="00017F74" w:rsidRPr="0091763A" w:rsidRDefault="00017F74" w:rsidP="00D755F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017F74" w:rsidRPr="00004886" w14:paraId="39AB4A67" w14:textId="77777777" w:rsidTr="009940A2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299AFB66" w14:textId="77777777" w:rsidR="00017F74" w:rsidRPr="00383057" w:rsidRDefault="00017F74" w:rsidP="00D755F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7B521CCB" w14:textId="77777777" w:rsidR="00017F74" w:rsidRDefault="00017F74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D775A4"/>
    <w:multiLevelType w:val="hybridMultilevel"/>
    <w:tmpl w:val="65029884"/>
    <w:lvl w:ilvl="0" w:tplc="887EE9C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Georgia" w:hAnsi="Georgia" w:hint="default"/>
        <w:b w:val="0"/>
        <w:i w:val="0"/>
        <w:color w:val="000000"/>
        <w:sz w:val="22"/>
      </w:rPr>
    </w:lvl>
    <w:lvl w:ilvl="1" w:tplc="D7F8CE3A">
      <w:start w:val="1"/>
      <w:numFmt w:val="upperLetter"/>
      <w:lvlText w:val="%2.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58F0"/>
    <w:rsid w:val="00017F74"/>
    <w:rsid w:val="000523CE"/>
    <w:rsid w:val="00070BDF"/>
    <w:rsid w:val="000B64F0"/>
    <w:rsid w:val="000E0733"/>
    <w:rsid w:val="00126981"/>
    <w:rsid w:val="002174C0"/>
    <w:rsid w:val="00366B62"/>
    <w:rsid w:val="00383057"/>
    <w:rsid w:val="003A605C"/>
    <w:rsid w:val="003D03B4"/>
    <w:rsid w:val="004039FB"/>
    <w:rsid w:val="004660F1"/>
    <w:rsid w:val="00496194"/>
    <w:rsid w:val="004B00A2"/>
    <w:rsid w:val="004F7E1E"/>
    <w:rsid w:val="005E1424"/>
    <w:rsid w:val="006318B2"/>
    <w:rsid w:val="00636251"/>
    <w:rsid w:val="0064513A"/>
    <w:rsid w:val="006772EC"/>
    <w:rsid w:val="006E68FD"/>
    <w:rsid w:val="00721119"/>
    <w:rsid w:val="007251F2"/>
    <w:rsid w:val="00744C01"/>
    <w:rsid w:val="007D240F"/>
    <w:rsid w:val="00806F6F"/>
    <w:rsid w:val="00857EA6"/>
    <w:rsid w:val="008F49D4"/>
    <w:rsid w:val="00914055"/>
    <w:rsid w:val="0091763A"/>
    <w:rsid w:val="009342A6"/>
    <w:rsid w:val="009940A2"/>
    <w:rsid w:val="009B5E63"/>
    <w:rsid w:val="009E78E9"/>
    <w:rsid w:val="00AA4F8A"/>
    <w:rsid w:val="00AC317F"/>
    <w:rsid w:val="00AF7CAE"/>
    <w:rsid w:val="00B77BA8"/>
    <w:rsid w:val="00BA51C0"/>
    <w:rsid w:val="00C2279D"/>
    <w:rsid w:val="00C3394C"/>
    <w:rsid w:val="00C70850"/>
    <w:rsid w:val="00CB5CE9"/>
    <w:rsid w:val="00DD17C5"/>
    <w:rsid w:val="00E46C23"/>
    <w:rsid w:val="00E547EA"/>
    <w:rsid w:val="00E810E1"/>
    <w:rsid w:val="00EF7FD5"/>
    <w:rsid w:val="00F107CD"/>
    <w:rsid w:val="00F53FEA"/>
    <w:rsid w:val="00FD6071"/>
    <w:rsid w:val="00FF2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FEE3319"/>
  <w15:docId w15:val="{CB032878-10AA-4C17-BA87-825746BC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dcterms:created xsi:type="dcterms:W3CDTF">2024-02-14T19:47:00Z</dcterms:created>
  <dcterms:modified xsi:type="dcterms:W3CDTF">2024-02-14T19:47:00Z</dcterms:modified>
</cp:coreProperties>
</file>