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981" w:rsidRPr="00D429FA" w:rsidRDefault="00126981" w:rsidP="00D429FA">
      <w:pPr>
        <w:keepNext/>
        <w:spacing w:after="0" w:line="240" w:lineRule="auto"/>
        <w:outlineLvl w:val="2"/>
        <w:rPr>
          <w:rFonts w:ascii="Avenir" w:eastAsia="PMingLiU" w:hAnsi="Avenir"/>
          <w:b/>
          <w:bCs/>
          <w:caps/>
          <w:sz w:val="24"/>
          <w:szCs w:val="28"/>
        </w:rPr>
      </w:pPr>
      <w:r w:rsidRPr="00D429FA">
        <w:rPr>
          <w:rFonts w:ascii="Avenir" w:eastAsia="PMingLiU" w:hAnsi="Avenir"/>
          <w:b/>
          <w:bCs/>
          <w:caps/>
          <w:sz w:val="24"/>
          <w:szCs w:val="28"/>
        </w:rPr>
        <w:t>POLICY</w:t>
      </w:r>
    </w:p>
    <w:p w:rsidR="00D429FA" w:rsidRDefault="00D429FA" w:rsidP="00D429FA">
      <w:pPr>
        <w:spacing w:after="0" w:line="240" w:lineRule="auto"/>
        <w:rPr>
          <w:rFonts w:ascii="Georgia" w:hAnsi="Georgia"/>
        </w:rPr>
      </w:pPr>
    </w:p>
    <w:p w:rsidR="00126981" w:rsidRDefault="00DE6F1F" w:rsidP="00D429FA">
      <w:pPr>
        <w:spacing w:after="0" w:line="240" w:lineRule="auto"/>
        <w:rPr>
          <w:rFonts w:ascii="Georgia" w:hAnsi="Georgia"/>
        </w:rPr>
      </w:pPr>
      <w:r w:rsidRPr="00DE6F1F">
        <w:rPr>
          <w:rFonts w:ascii="Georgia" w:hAnsi="Georgia"/>
        </w:rPr>
        <w:t>A Post-Exposure Evaluation and follow-up will be provided to all Ohio Living</w:t>
      </w:r>
      <w:r>
        <w:rPr>
          <w:rFonts w:ascii="Georgia" w:hAnsi="Georgia"/>
        </w:rPr>
        <w:t xml:space="preserve"> home health and hospice</w:t>
      </w:r>
      <w:r w:rsidRPr="00DE6F1F">
        <w:rPr>
          <w:rFonts w:ascii="Georgia" w:hAnsi="Georgia"/>
        </w:rPr>
        <w:t xml:space="preserve"> employees who have had an occupational exposure incident to bloodborne pathogens or other potentially infectious materials. Exposure to saliva without visible blood, tears, sweat, or non-bloody urine or feces </w:t>
      </w:r>
      <w:r w:rsidRPr="00DE6F1F">
        <w:rPr>
          <w:rFonts w:ascii="Georgia" w:hAnsi="Georgia"/>
          <w:u w:val="single"/>
        </w:rPr>
        <w:t xml:space="preserve">does not </w:t>
      </w:r>
      <w:r w:rsidRPr="00DE6F1F">
        <w:rPr>
          <w:rFonts w:ascii="Georgia" w:hAnsi="Georgia"/>
        </w:rPr>
        <w:t>require post-exposure follow-up.</w:t>
      </w:r>
    </w:p>
    <w:p w:rsidR="00D429FA" w:rsidRDefault="00D429FA" w:rsidP="00D429FA">
      <w:pPr>
        <w:spacing w:after="0" w:line="240" w:lineRule="auto"/>
        <w:rPr>
          <w:rFonts w:ascii="Georgia" w:hAnsi="Georgia"/>
        </w:rPr>
      </w:pPr>
    </w:p>
    <w:p w:rsidR="00D47035" w:rsidRPr="00D47035" w:rsidRDefault="00D47035" w:rsidP="00D429FA">
      <w:pPr>
        <w:spacing w:after="0" w:line="240" w:lineRule="auto"/>
        <w:rPr>
          <w:rFonts w:ascii="Georgia" w:hAnsi="Georgia"/>
        </w:rPr>
      </w:pPr>
      <w:r w:rsidRPr="00D47035">
        <w:rPr>
          <w:rFonts w:ascii="Georgia" w:hAnsi="Georgia"/>
        </w:rPr>
        <w:t xml:space="preserve">Ohio Living </w:t>
      </w:r>
      <w:r w:rsidRPr="00A7389E">
        <w:rPr>
          <w:rFonts w:ascii="Georgia" w:hAnsi="Georgia"/>
        </w:rPr>
        <w:t>uses safety needles</w:t>
      </w:r>
      <w:r>
        <w:rPr>
          <w:rFonts w:ascii="Georgia" w:hAnsi="Georgia"/>
        </w:rPr>
        <w:t xml:space="preserve"> </w:t>
      </w:r>
      <w:r w:rsidR="003619C0">
        <w:rPr>
          <w:rFonts w:ascii="Georgia" w:hAnsi="Georgia"/>
        </w:rPr>
        <w:t xml:space="preserve">as available </w:t>
      </w:r>
      <w:r>
        <w:rPr>
          <w:rFonts w:ascii="Georgia" w:hAnsi="Georgia"/>
        </w:rPr>
        <w:t xml:space="preserve">and disposes of them in industry-approved sharps containers. </w:t>
      </w:r>
    </w:p>
    <w:p w:rsidR="00D429FA" w:rsidRPr="00D429FA" w:rsidRDefault="00D429FA" w:rsidP="00D429FA">
      <w:pPr>
        <w:keepNext/>
        <w:spacing w:after="0" w:line="240" w:lineRule="auto"/>
        <w:outlineLvl w:val="2"/>
        <w:rPr>
          <w:rFonts w:ascii="Avenir" w:eastAsia="PMingLiU" w:hAnsi="Avenir"/>
          <w:b/>
          <w:bCs/>
          <w:caps/>
          <w:sz w:val="20"/>
          <w:szCs w:val="28"/>
        </w:rPr>
      </w:pPr>
    </w:p>
    <w:p w:rsidR="00D47035" w:rsidRPr="00D429FA" w:rsidRDefault="00126981" w:rsidP="00D429FA">
      <w:pPr>
        <w:keepNext/>
        <w:spacing w:after="0" w:line="240" w:lineRule="auto"/>
        <w:outlineLvl w:val="2"/>
        <w:rPr>
          <w:rFonts w:ascii="Avenir" w:eastAsia="PMingLiU" w:hAnsi="Avenir"/>
          <w:b/>
          <w:bCs/>
          <w:caps/>
          <w:sz w:val="24"/>
          <w:szCs w:val="28"/>
        </w:rPr>
      </w:pPr>
      <w:r w:rsidRPr="00D429FA">
        <w:rPr>
          <w:rFonts w:ascii="Avenir" w:eastAsia="PMingLiU" w:hAnsi="Avenir"/>
          <w:b/>
          <w:bCs/>
          <w:caps/>
          <w:sz w:val="24"/>
          <w:szCs w:val="28"/>
        </w:rPr>
        <w:t>PROCEDUR</w:t>
      </w:r>
      <w:r w:rsidR="00D47035" w:rsidRPr="00D429FA">
        <w:rPr>
          <w:rFonts w:ascii="Avenir" w:eastAsia="PMingLiU" w:hAnsi="Avenir"/>
          <w:b/>
          <w:bCs/>
          <w:caps/>
          <w:sz w:val="24"/>
          <w:szCs w:val="28"/>
        </w:rPr>
        <w:t>E</w:t>
      </w:r>
    </w:p>
    <w:p w:rsidR="00D429FA" w:rsidRDefault="00D429FA" w:rsidP="00D429FA">
      <w:pPr>
        <w:spacing w:after="0" w:line="240" w:lineRule="auto"/>
        <w:ind w:left="360"/>
        <w:rPr>
          <w:rFonts w:ascii="Georgia" w:hAnsi="Georgia"/>
        </w:rPr>
      </w:pPr>
    </w:p>
    <w:p w:rsidR="00DE6F1F" w:rsidRPr="00DE6F1F" w:rsidRDefault="00DE6F1F" w:rsidP="00D429FA">
      <w:pPr>
        <w:numPr>
          <w:ilvl w:val="0"/>
          <w:numId w:val="5"/>
        </w:numPr>
        <w:spacing w:after="0" w:line="240" w:lineRule="auto"/>
        <w:rPr>
          <w:rFonts w:ascii="Georgia" w:hAnsi="Georgia"/>
        </w:rPr>
      </w:pPr>
      <w:r w:rsidRPr="00DE6F1F">
        <w:rPr>
          <w:rFonts w:ascii="Georgia" w:hAnsi="Georgia"/>
        </w:rPr>
        <w:t>Any employee having possible exposure to bloodborne or other potentially infectious agents while working must:</w:t>
      </w:r>
    </w:p>
    <w:p w:rsidR="00DE6F1F" w:rsidRPr="00DE6F1F" w:rsidRDefault="00DE6F1F" w:rsidP="00D429FA">
      <w:pPr>
        <w:numPr>
          <w:ilvl w:val="0"/>
          <w:numId w:val="6"/>
        </w:numPr>
        <w:spacing w:after="0" w:line="240" w:lineRule="auto"/>
        <w:ind w:left="720"/>
        <w:rPr>
          <w:rFonts w:ascii="Georgia" w:hAnsi="Georgia"/>
        </w:rPr>
      </w:pPr>
      <w:r w:rsidRPr="00DE6F1F">
        <w:rPr>
          <w:rFonts w:ascii="Georgia" w:hAnsi="Georgia"/>
        </w:rPr>
        <w:t>Wash the area with soap and water, or flush mucous membranes with water immediately or as soon as feasible following contact.</w:t>
      </w:r>
    </w:p>
    <w:p w:rsidR="00DE6F1F" w:rsidRPr="00DE6F1F" w:rsidRDefault="00DE6F1F" w:rsidP="00D429FA">
      <w:pPr>
        <w:numPr>
          <w:ilvl w:val="0"/>
          <w:numId w:val="6"/>
        </w:numPr>
        <w:spacing w:after="0" w:line="240" w:lineRule="auto"/>
        <w:ind w:left="720"/>
        <w:rPr>
          <w:rFonts w:ascii="Georgia" w:hAnsi="Georgia"/>
        </w:rPr>
      </w:pPr>
      <w:r w:rsidRPr="00DE6F1F">
        <w:rPr>
          <w:rFonts w:ascii="Georgia" w:hAnsi="Georgia"/>
        </w:rPr>
        <w:t>Report this exposure to their supervisor immediately (within 12 hours, preferably sooner), and</w:t>
      </w:r>
      <w:r w:rsidR="00BD733B">
        <w:rPr>
          <w:rFonts w:ascii="Georgia" w:hAnsi="Georgia"/>
        </w:rPr>
        <w:t xml:space="preserve"> the supervisor is responsible to notify Human Resources.</w:t>
      </w:r>
    </w:p>
    <w:p w:rsidR="00DE6F1F" w:rsidRPr="00DE6F1F" w:rsidRDefault="00DE6F1F" w:rsidP="00D429FA">
      <w:pPr>
        <w:numPr>
          <w:ilvl w:val="0"/>
          <w:numId w:val="6"/>
        </w:numPr>
        <w:spacing w:after="0" w:line="240" w:lineRule="auto"/>
        <w:ind w:left="720"/>
        <w:rPr>
          <w:rFonts w:ascii="Georgia" w:hAnsi="Georgia"/>
        </w:rPr>
      </w:pPr>
      <w:r w:rsidRPr="00DE6F1F">
        <w:rPr>
          <w:rFonts w:ascii="Georgia" w:hAnsi="Georgia"/>
        </w:rPr>
        <w:t xml:space="preserve">Complete the </w:t>
      </w:r>
      <w:r>
        <w:rPr>
          <w:rFonts w:ascii="Georgia" w:hAnsi="Georgia"/>
        </w:rPr>
        <w:t>employee</w:t>
      </w:r>
      <w:r w:rsidRPr="00DE6F1F">
        <w:rPr>
          <w:rFonts w:ascii="Georgia" w:hAnsi="Georgia"/>
        </w:rPr>
        <w:t xml:space="preserve"> incident report</w:t>
      </w:r>
      <w:r>
        <w:rPr>
          <w:rFonts w:ascii="Georgia" w:hAnsi="Georgia"/>
        </w:rPr>
        <w:t>. Em</w:t>
      </w:r>
      <w:r w:rsidRPr="00DE6F1F">
        <w:rPr>
          <w:rFonts w:ascii="Georgia" w:hAnsi="Georgia"/>
        </w:rPr>
        <w:t>ployees must report any of the following:</w:t>
      </w:r>
    </w:p>
    <w:p w:rsidR="00DE6F1F" w:rsidRPr="00DE6F1F" w:rsidRDefault="00DE6F1F" w:rsidP="00D429FA">
      <w:pPr>
        <w:numPr>
          <w:ilvl w:val="0"/>
          <w:numId w:val="7"/>
        </w:numPr>
        <w:spacing w:after="0" w:line="240" w:lineRule="auto"/>
        <w:rPr>
          <w:rFonts w:ascii="Georgia" w:hAnsi="Georgia"/>
        </w:rPr>
      </w:pPr>
      <w:r w:rsidRPr="00DE6F1F">
        <w:rPr>
          <w:rFonts w:ascii="Georgia" w:hAnsi="Georgia"/>
        </w:rPr>
        <w:t>Needlestick injury</w:t>
      </w:r>
    </w:p>
    <w:p w:rsidR="00DE6F1F" w:rsidRPr="00DE6F1F" w:rsidRDefault="00DE6F1F" w:rsidP="00D429FA">
      <w:pPr>
        <w:numPr>
          <w:ilvl w:val="0"/>
          <w:numId w:val="7"/>
        </w:numPr>
        <w:spacing w:after="0" w:line="240" w:lineRule="auto"/>
        <w:rPr>
          <w:rFonts w:ascii="Georgia" w:hAnsi="Georgia"/>
        </w:rPr>
      </w:pPr>
      <w:r w:rsidRPr="00DE6F1F">
        <w:rPr>
          <w:rFonts w:ascii="Georgia" w:hAnsi="Georgia"/>
        </w:rPr>
        <w:t>Cuts with sharp objects contaminated with blood or body fluids</w:t>
      </w:r>
    </w:p>
    <w:p w:rsidR="00DE6F1F" w:rsidRPr="00DE6F1F" w:rsidRDefault="00DE6F1F" w:rsidP="00D429FA">
      <w:pPr>
        <w:numPr>
          <w:ilvl w:val="0"/>
          <w:numId w:val="7"/>
        </w:numPr>
        <w:spacing w:after="0" w:line="240" w:lineRule="auto"/>
        <w:rPr>
          <w:rFonts w:ascii="Georgia" w:hAnsi="Georgia"/>
        </w:rPr>
      </w:pPr>
      <w:r w:rsidRPr="00DE6F1F">
        <w:rPr>
          <w:rFonts w:ascii="Georgia" w:hAnsi="Georgia"/>
        </w:rPr>
        <w:t>Mucous membrane exposure to blood or body fluids (splash to eye or mouth)</w:t>
      </w:r>
    </w:p>
    <w:p w:rsidR="00DE6F1F" w:rsidRPr="00DE6F1F" w:rsidRDefault="00DE6F1F" w:rsidP="00D429FA">
      <w:pPr>
        <w:numPr>
          <w:ilvl w:val="0"/>
          <w:numId w:val="7"/>
        </w:numPr>
        <w:spacing w:after="0" w:line="240" w:lineRule="auto"/>
        <w:rPr>
          <w:rFonts w:ascii="Georgia" w:hAnsi="Georgia"/>
        </w:rPr>
      </w:pPr>
      <w:r w:rsidRPr="00DE6F1F">
        <w:rPr>
          <w:rFonts w:ascii="Georgia" w:hAnsi="Georgia"/>
        </w:rPr>
        <w:t>Blood or body fluid contact with open area of skin</w:t>
      </w:r>
      <w:r>
        <w:rPr>
          <w:rFonts w:ascii="Georgia" w:hAnsi="Georgia"/>
        </w:rPr>
        <w:t>. B</w:t>
      </w:r>
      <w:r w:rsidRPr="00DE6F1F">
        <w:rPr>
          <w:rFonts w:ascii="Georgia" w:hAnsi="Georgia"/>
        </w:rPr>
        <w:t>ody fluids include</w:t>
      </w:r>
      <w:r>
        <w:rPr>
          <w:rFonts w:ascii="Georgia" w:hAnsi="Georgia"/>
        </w:rPr>
        <w:t>:</w:t>
      </w:r>
    </w:p>
    <w:p w:rsidR="00DE6F1F" w:rsidRPr="00DE6F1F" w:rsidRDefault="00DE6F1F" w:rsidP="00D429FA">
      <w:pPr>
        <w:numPr>
          <w:ilvl w:val="0"/>
          <w:numId w:val="9"/>
        </w:numPr>
        <w:tabs>
          <w:tab w:val="num" w:pos="1440"/>
        </w:tabs>
        <w:spacing w:after="0" w:line="240" w:lineRule="auto"/>
        <w:ind w:left="1440"/>
        <w:rPr>
          <w:rFonts w:ascii="Georgia" w:hAnsi="Georgia"/>
        </w:rPr>
      </w:pPr>
      <w:r w:rsidRPr="00DE6F1F">
        <w:rPr>
          <w:rFonts w:ascii="Georgia" w:hAnsi="Georgia"/>
        </w:rPr>
        <w:t>semen, vaginal secretions, or other body fluids contaminated with visible blood</w:t>
      </w:r>
    </w:p>
    <w:p w:rsidR="00DE6F1F" w:rsidRPr="00DE6F1F" w:rsidRDefault="00DE6F1F" w:rsidP="00D429FA">
      <w:pPr>
        <w:numPr>
          <w:ilvl w:val="0"/>
          <w:numId w:val="9"/>
        </w:numPr>
        <w:tabs>
          <w:tab w:val="num" w:pos="1440"/>
        </w:tabs>
        <w:spacing w:after="0" w:line="240" w:lineRule="auto"/>
        <w:ind w:left="1440"/>
        <w:rPr>
          <w:rFonts w:ascii="Georgia" w:hAnsi="Georgia"/>
        </w:rPr>
      </w:pPr>
      <w:r w:rsidRPr="00DE6F1F">
        <w:rPr>
          <w:rFonts w:ascii="Georgia" w:hAnsi="Georgia"/>
        </w:rPr>
        <w:t>cerebrospinal, synovial, pleural, peritoneal, pericardial, and amniotic fluids</w:t>
      </w:r>
    </w:p>
    <w:p w:rsidR="00DE6F1F" w:rsidRPr="00DE6F1F" w:rsidRDefault="00DE6F1F" w:rsidP="00D429FA">
      <w:pPr>
        <w:numPr>
          <w:ilvl w:val="0"/>
          <w:numId w:val="5"/>
        </w:numPr>
        <w:spacing w:after="0" w:line="240" w:lineRule="auto"/>
        <w:rPr>
          <w:rFonts w:ascii="Georgia" w:hAnsi="Georgia"/>
        </w:rPr>
      </w:pPr>
      <w:r w:rsidRPr="00DE6F1F">
        <w:rPr>
          <w:rFonts w:ascii="Georgia" w:hAnsi="Georgia"/>
        </w:rPr>
        <w:t xml:space="preserve">An immediately available confidential medical evaluation and follow-up will be conducted by the employee's personal physician, </w:t>
      </w:r>
      <w:r w:rsidR="00BD733B">
        <w:rPr>
          <w:rFonts w:ascii="Georgia" w:hAnsi="Georgia"/>
        </w:rPr>
        <w:t>or other appropriate treatment facility</w:t>
      </w:r>
      <w:r w:rsidRPr="00DE6F1F">
        <w:rPr>
          <w:rFonts w:ascii="Georgia" w:hAnsi="Georgia"/>
        </w:rPr>
        <w:t xml:space="preserve">, at no expense to the employee. All policies regarding Post-Exposure to Bloodborne Pathogens will be shared and reviewed with the preferred physician to ensure appropriate follow up. </w:t>
      </w:r>
    </w:p>
    <w:p w:rsidR="00DE6F1F" w:rsidRPr="00DE6F1F" w:rsidRDefault="00DE6F1F" w:rsidP="00D429FA">
      <w:pPr>
        <w:numPr>
          <w:ilvl w:val="0"/>
          <w:numId w:val="5"/>
        </w:numPr>
        <w:spacing w:after="0" w:line="240" w:lineRule="auto"/>
        <w:rPr>
          <w:rFonts w:ascii="Georgia" w:hAnsi="Georgia"/>
        </w:rPr>
      </w:pPr>
      <w:r w:rsidRPr="00DE6F1F">
        <w:rPr>
          <w:rFonts w:ascii="Georgia" w:hAnsi="Georgia"/>
        </w:rPr>
        <w:t>The following information will be provided to the health care professional responsible for evaluating the employee after an exposure incident:</w:t>
      </w:r>
    </w:p>
    <w:p w:rsidR="00DE6F1F" w:rsidRPr="00DE6F1F" w:rsidRDefault="00DE6F1F" w:rsidP="00D429FA">
      <w:pPr>
        <w:numPr>
          <w:ilvl w:val="0"/>
          <w:numId w:val="8"/>
        </w:numPr>
        <w:spacing w:after="0" w:line="240" w:lineRule="auto"/>
        <w:rPr>
          <w:rFonts w:ascii="Georgia" w:hAnsi="Georgia"/>
        </w:rPr>
      </w:pPr>
      <w:r w:rsidRPr="00DE6F1F">
        <w:rPr>
          <w:rFonts w:ascii="Georgia" w:hAnsi="Georgia"/>
        </w:rPr>
        <w:t>A description of the exposed employee’s duties as they relate to the exposure incident;</w:t>
      </w:r>
    </w:p>
    <w:p w:rsidR="00DE6F1F" w:rsidRPr="00DE6F1F" w:rsidRDefault="00DE6F1F" w:rsidP="00D429FA">
      <w:pPr>
        <w:numPr>
          <w:ilvl w:val="0"/>
          <w:numId w:val="8"/>
        </w:numPr>
        <w:spacing w:after="0" w:line="240" w:lineRule="auto"/>
        <w:rPr>
          <w:rFonts w:ascii="Georgia" w:hAnsi="Georgia"/>
        </w:rPr>
      </w:pPr>
      <w:r w:rsidRPr="00DE6F1F">
        <w:rPr>
          <w:rFonts w:ascii="Georgia" w:hAnsi="Georgia"/>
        </w:rPr>
        <w:lastRenderedPageBreak/>
        <w:t>Documentation of the route(s) of exposure and circumstances under which exposure occurred.</w:t>
      </w:r>
    </w:p>
    <w:p w:rsidR="00DE6F1F" w:rsidRPr="00DE6F1F" w:rsidRDefault="00DE6F1F" w:rsidP="00D429FA">
      <w:pPr>
        <w:numPr>
          <w:ilvl w:val="0"/>
          <w:numId w:val="8"/>
        </w:numPr>
        <w:spacing w:after="0" w:line="240" w:lineRule="auto"/>
        <w:rPr>
          <w:rFonts w:ascii="Georgia" w:hAnsi="Georgia"/>
        </w:rPr>
      </w:pPr>
      <w:r w:rsidRPr="00DE6F1F">
        <w:rPr>
          <w:rFonts w:ascii="Georgia" w:hAnsi="Georgia"/>
        </w:rPr>
        <w:t>Results of the source individual’s blood testing, if available;</w:t>
      </w:r>
    </w:p>
    <w:p w:rsidR="00DE6F1F" w:rsidRDefault="00DE6F1F" w:rsidP="00D429FA">
      <w:pPr>
        <w:numPr>
          <w:ilvl w:val="0"/>
          <w:numId w:val="8"/>
        </w:numPr>
        <w:spacing w:after="0" w:line="240" w:lineRule="auto"/>
        <w:rPr>
          <w:rFonts w:ascii="Georgia" w:hAnsi="Georgia"/>
        </w:rPr>
      </w:pPr>
      <w:r w:rsidRPr="00DE6F1F">
        <w:rPr>
          <w:rFonts w:ascii="Georgia" w:hAnsi="Georgia"/>
        </w:rPr>
        <w:t>All medical records relevant to the appropriate treatment of the employee including vaccination status</w:t>
      </w:r>
      <w:r w:rsidR="00BD733B">
        <w:rPr>
          <w:rFonts w:ascii="Georgia" w:hAnsi="Georgia"/>
        </w:rPr>
        <w:t>.</w:t>
      </w:r>
    </w:p>
    <w:p w:rsidR="00DE6F1F" w:rsidRPr="00DE6F1F" w:rsidRDefault="00DE6F1F" w:rsidP="00D429FA">
      <w:pPr>
        <w:numPr>
          <w:ilvl w:val="0"/>
          <w:numId w:val="5"/>
        </w:numPr>
        <w:spacing w:after="0" w:line="240" w:lineRule="auto"/>
        <w:rPr>
          <w:rFonts w:ascii="Georgia" w:hAnsi="Georgia"/>
        </w:rPr>
      </w:pPr>
      <w:r w:rsidRPr="00DE6F1F">
        <w:rPr>
          <w:rFonts w:ascii="Georgia" w:hAnsi="Georgia"/>
        </w:rPr>
        <w:t xml:space="preserve">Identify and document the source individual, unless the employer can establish that identification is not possible. If the source cannot be identified, then the employee will follow the steps outlined below. </w:t>
      </w:r>
    </w:p>
    <w:p w:rsidR="00DE6F1F" w:rsidRDefault="00DE6F1F" w:rsidP="00D429FA">
      <w:pPr>
        <w:numPr>
          <w:ilvl w:val="0"/>
          <w:numId w:val="14"/>
        </w:numPr>
        <w:spacing w:after="0" w:line="240" w:lineRule="auto"/>
        <w:ind w:left="720"/>
        <w:rPr>
          <w:rFonts w:ascii="Georgia" w:hAnsi="Georgia"/>
        </w:rPr>
      </w:pPr>
      <w:r w:rsidRPr="00DE6F1F">
        <w:rPr>
          <w:rFonts w:ascii="Georgia" w:hAnsi="Georgia"/>
        </w:rPr>
        <w:t>The source individual will be evaluated clinically to determine the likelihood of HIV and Hepatitis infections. The source individual’s physician may be consulted to obtain this information.</w:t>
      </w:r>
    </w:p>
    <w:p w:rsidR="00922775" w:rsidRDefault="00DE6F1F" w:rsidP="00D429FA">
      <w:pPr>
        <w:numPr>
          <w:ilvl w:val="0"/>
          <w:numId w:val="14"/>
        </w:numPr>
        <w:spacing w:after="0" w:line="240" w:lineRule="auto"/>
        <w:ind w:left="720"/>
        <w:rPr>
          <w:rFonts w:ascii="Georgia" w:hAnsi="Georgia"/>
        </w:rPr>
      </w:pPr>
      <w:r w:rsidRPr="00DE6F1F">
        <w:rPr>
          <w:rFonts w:ascii="Georgia" w:hAnsi="Georgia"/>
        </w:rPr>
        <w:t>Obtain consent and arrange to have the source individual tested as soon as possible to determine HIV, HCV, and HBV infectivity; document that the source individual's test results were conveyed to the employee's health care provider. If the source individual is already known to be HIV, HCV and/or HBV positive, new testing need not be performed.</w:t>
      </w:r>
    </w:p>
    <w:p w:rsidR="00DE6F1F" w:rsidRPr="00922775" w:rsidRDefault="00DE6F1F" w:rsidP="00D429FA">
      <w:pPr>
        <w:numPr>
          <w:ilvl w:val="0"/>
          <w:numId w:val="14"/>
        </w:numPr>
        <w:spacing w:after="0" w:line="240" w:lineRule="auto"/>
        <w:ind w:left="720"/>
        <w:rPr>
          <w:rFonts w:ascii="Georgia" w:hAnsi="Georgia"/>
        </w:rPr>
      </w:pPr>
      <w:r w:rsidRPr="00922775">
        <w:rPr>
          <w:rFonts w:ascii="Georgia" w:hAnsi="Georgia"/>
        </w:rPr>
        <w:t>Use forms:</w:t>
      </w:r>
    </w:p>
    <w:p w:rsidR="00DE6F1F" w:rsidRPr="00DE6F1F" w:rsidRDefault="00DE6F1F" w:rsidP="00D429FA">
      <w:pPr>
        <w:numPr>
          <w:ilvl w:val="0"/>
          <w:numId w:val="11"/>
        </w:numPr>
        <w:spacing w:after="0" w:line="240" w:lineRule="auto"/>
        <w:ind w:left="1080"/>
        <w:rPr>
          <w:rFonts w:ascii="Georgia" w:hAnsi="Georgia"/>
        </w:rPr>
      </w:pPr>
      <w:r w:rsidRPr="00DE6F1F">
        <w:rPr>
          <w:rFonts w:ascii="Georgia" w:hAnsi="Georgia"/>
          <w:b/>
          <w:u w:val="single"/>
        </w:rPr>
        <w:t>Consent for Hepatitis B or C Blood Tests</w:t>
      </w:r>
      <w:r w:rsidRPr="00DE6F1F">
        <w:rPr>
          <w:rFonts w:ascii="Georgia" w:hAnsi="Georgia"/>
        </w:rPr>
        <w:t>, and/or</w:t>
      </w:r>
    </w:p>
    <w:p w:rsidR="00DE6F1F" w:rsidRPr="00DE6F1F" w:rsidRDefault="00DE6F1F" w:rsidP="00D429FA">
      <w:pPr>
        <w:numPr>
          <w:ilvl w:val="0"/>
          <w:numId w:val="11"/>
        </w:numPr>
        <w:spacing w:after="0" w:line="240" w:lineRule="auto"/>
        <w:ind w:left="1080"/>
        <w:rPr>
          <w:rFonts w:ascii="Georgia" w:hAnsi="Georgia"/>
        </w:rPr>
      </w:pPr>
      <w:r w:rsidRPr="00DE6F1F">
        <w:rPr>
          <w:rFonts w:ascii="Georgia" w:hAnsi="Georgia"/>
          <w:b/>
          <w:u w:val="single"/>
        </w:rPr>
        <w:t>Ohio Department of Health Informed Consent to HIV Antibody Test</w:t>
      </w:r>
      <w:r w:rsidRPr="00DE6F1F">
        <w:rPr>
          <w:rFonts w:ascii="Georgia" w:hAnsi="Georgia"/>
        </w:rPr>
        <w:t>.</w:t>
      </w:r>
    </w:p>
    <w:p w:rsidR="00DE6F1F" w:rsidRPr="00DE6F1F" w:rsidRDefault="00DE6F1F" w:rsidP="00D429FA">
      <w:pPr>
        <w:numPr>
          <w:ilvl w:val="0"/>
          <w:numId w:val="11"/>
        </w:numPr>
        <w:spacing w:after="0" w:line="240" w:lineRule="auto"/>
        <w:ind w:left="1080"/>
        <w:rPr>
          <w:rFonts w:ascii="Georgia" w:hAnsi="Georgia"/>
        </w:rPr>
      </w:pPr>
      <w:r w:rsidRPr="00DE6F1F">
        <w:rPr>
          <w:rFonts w:ascii="Georgia" w:hAnsi="Georgia"/>
        </w:rPr>
        <w:t xml:space="preserve">If consent cannot be obtained </w:t>
      </w:r>
      <w:r w:rsidR="00922775">
        <w:rPr>
          <w:rFonts w:ascii="Georgia" w:hAnsi="Georgia"/>
        </w:rPr>
        <w:t>by the agency this should be stated on</w:t>
      </w:r>
      <w:r w:rsidRPr="00DE6F1F">
        <w:rPr>
          <w:rFonts w:ascii="Georgia" w:hAnsi="Georgia"/>
        </w:rPr>
        <w:t xml:space="preserve"> the consent form</w:t>
      </w:r>
      <w:r w:rsidR="00922775">
        <w:rPr>
          <w:rFonts w:ascii="Georgia" w:hAnsi="Georgia"/>
        </w:rPr>
        <w:t>.</w:t>
      </w:r>
    </w:p>
    <w:p w:rsidR="00DE6F1F" w:rsidRPr="00DE6F1F" w:rsidRDefault="00DE6F1F" w:rsidP="00D429FA">
      <w:pPr>
        <w:numPr>
          <w:ilvl w:val="0"/>
          <w:numId w:val="11"/>
        </w:numPr>
        <w:spacing w:after="0" w:line="240" w:lineRule="auto"/>
        <w:ind w:left="1080"/>
        <w:rPr>
          <w:rFonts w:ascii="Georgia" w:hAnsi="Georgia"/>
        </w:rPr>
      </w:pPr>
      <w:r w:rsidRPr="00DE6F1F">
        <w:rPr>
          <w:rFonts w:ascii="Georgia" w:hAnsi="Georgia"/>
        </w:rPr>
        <w:t xml:space="preserve">If consent for testing of the source individual’s blood cannot be obtained and medical need is apparent, the </w:t>
      </w:r>
      <w:r w:rsidR="00922775">
        <w:rPr>
          <w:rFonts w:ascii="Georgia" w:hAnsi="Georgia"/>
        </w:rPr>
        <w:t xml:space="preserve">executive director/administrator </w:t>
      </w:r>
      <w:r w:rsidRPr="00DE6F1F">
        <w:rPr>
          <w:rFonts w:ascii="Georgia" w:hAnsi="Georgia"/>
        </w:rPr>
        <w:t xml:space="preserve">will determine if exception to informed consent is permitted (per O.R.C. 3701.24). This would be acted upon through legal counsel. </w:t>
      </w:r>
    </w:p>
    <w:p w:rsidR="00DE6F1F" w:rsidRDefault="00DE6F1F" w:rsidP="00D429FA">
      <w:pPr>
        <w:numPr>
          <w:ilvl w:val="0"/>
          <w:numId w:val="11"/>
        </w:numPr>
        <w:spacing w:after="0" w:line="240" w:lineRule="auto"/>
        <w:ind w:left="1080"/>
        <w:rPr>
          <w:rFonts w:ascii="Georgia" w:hAnsi="Georgia"/>
        </w:rPr>
      </w:pPr>
      <w:r w:rsidRPr="00DE6F1F">
        <w:rPr>
          <w:rFonts w:ascii="Georgia" w:hAnsi="Georgia"/>
        </w:rPr>
        <w:t xml:space="preserve">Ohio Living will pay the cost of testing and the results will </w:t>
      </w:r>
      <w:r w:rsidRPr="00DE6F1F">
        <w:rPr>
          <w:rFonts w:ascii="Georgia" w:hAnsi="Georgia"/>
          <w:u w:val="single"/>
        </w:rPr>
        <w:t>not</w:t>
      </w:r>
      <w:r w:rsidRPr="00DE6F1F">
        <w:rPr>
          <w:rFonts w:ascii="Georgia" w:hAnsi="Georgia"/>
        </w:rPr>
        <w:t xml:space="preserve"> be placed in the patient’s medical record</w:t>
      </w:r>
      <w:r w:rsidR="00922775">
        <w:rPr>
          <w:rFonts w:ascii="Georgia" w:hAnsi="Georgia"/>
        </w:rPr>
        <w:t>.</w:t>
      </w:r>
    </w:p>
    <w:p w:rsidR="00DE6F1F" w:rsidRPr="00DE6F1F" w:rsidRDefault="00922775" w:rsidP="00D429FA">
      <w:pPr>
        <w:numPr>
          <w:ilvl w:val="0"/>
          <w:numId w:val="11"/>
        </w:numPr>
        <w:spacing w:after="0" w:line="240" w:lineRule="auto"/>
        <w:ind w:left="1080"/>
        <w:rPr>
          <w:rFonts w:ascii="Georgia" w:hAnsi="Georgia"/>
        </w:rPr>
      </w:pPr>
      <w:r>
        <w:rPr>
          <w:rFonts w:ascii="Georgia" w:hAnsi="Georgia"/>
        </w:rPr>
        <w:t>If the source blood shows evidence of infection, test the</w:t>
      </w:r>
      <w:r w:rsidR="00DE6F1F" w:rsidRPr="00DE6F1F">
        <w:rPr>
          <w:rFonts w:ascii="Georgia" w:hAnsi="Georgia"/>
        </w:rPr>
        <w:t xml:space="preserve"> employee</w:t>
      </w:r>
      <w:r>
        <w:rPr>
          <w:rFonts w:ascii="Georgia" w:hAnsi="Georgia"/>
        </w:rPr>
        <w:t xml:space="preserve"> for the source infection </w:t>
      </w:r>
      <w:r w:rsidR="00DE6F1F" w:rsidRPr="00DE6F1F">
        <w:rPr>
          <w:rFonts w:ascii="Georgia" w:hAnsi="Georgia"/>
        </w:rPr>
        <w:t xml:space="preserve">as soon as </w:t>
      </w:r>
      <w:r>
        <w:rPr>
          <w:rFonts w:ascii="Georgia" w:hAnsi="Georgia"/>
        </w:rPr>
        <w:t xml:space="preserve">possible </w:t>
      </w:r>
      <w:r w:rsidR="00DE6F1F" w:rsidRPr="00DE6F1F">
        <w:rPr>
          <w:rFonts w:ascii="Georgia" w:hAnsi="Georgia"/>
        </w:rPr>
        <w:t>after exposure incident.</w:t>
      </w:r>
    </w:p>
    <w:p w:rsidR="00DE6F1F" w:rsidRPr="00922775" w:rsidRDefault="00DE6F1F" w:rsidP="00D429FA">
      <w:pPr>
        <w:numPr>
          <w:ilvl w:val="0"/>
          <w:numId w:val="12"/>
        </w:numPr>
        <w:spacing w:after="0" w:line="240" w:lineRule="auto"/>
        <w:ind w:left="1440"/>
        <w:rPr>
          <w:rFonts w:ascii="Georgia" w:hAnsi="Georgia"/>
        </w:rPr>
      </w:pPr>
      <w:r w:rsidRPr="00DE6F1F">
        <w:rPr>
          <w:rFonts w:ascii="Georgia" w:hAnsi="Georgia"/>
        </w:rPr>
        <w:t>In the event that the employee refuses follow up evaluation and/or testing or treatment</w:t>
      </w:r>
      <w:r w:rsidR="00922775">
        <w:rPr>
          <w:rFonts w:ascii="Georgia" w:hAnsi="Georgia"/>
        </w:rPr>
        <w:t xml:space="preserve"> the employee must provide</w:t>
      </w:r>
      <w:r w:rsidR="00AC27F6">
        <w:rPr>
          <w:rFonts w:ascii="Georgia" w:hAnsi="Georgia"/>
        </w:rPr>
        <w:t xml:space="preserve"> human resources with</w:t>
      </w:r>
      <w:r w:rsidR="00922775">
        <w:rPr>
          <w:rFonts w:ascii="Georgia" w:hAnsi="Georgia"/>
        </w:rPr>
        <w:t xml:space="preserve"> the</w:t>
      </w:r>
      <w:r w:rsidR="00E62C10">
        <w:rPr>
          <w:rFonts w:ascii="Georgia" w:hAnsi="Georgia"/>
        </w:rPr>
        <w:t xml:space="preserve"> </w:t>
      </w:r>
      <w:r w:rsidR="00AC27F6">
        <w:rPr>
          <w:rFonts w:ascii="Georgia" w:hAnsi="Georgia"/>
        </w:rPr>
        <w:t xml:space="preserve">written refusal. </w:t>
      </w:r>
      <w:r w:rsidRPr="00922775">
        <w:rPr>
          <w:rFonts w:ascii="Georgia" w:hAnsi="Georgia"/>
        </w:rPr>
        <w:t xml:space="preserve"> </w:t>
      </w:r>
    </w:p>
    <w:p w:rsidR="00DE6F1F" w:rsidRPr="00DE6F1F" w:rsidRDefault="00DE6F1F" w:rsidP="00D429FA">
      <w:pPr>
        <w:numPr>
          <w:ilvl w:val="0"/>
          <w:numId w:val="5"/>
        </w:numPr>
        <w:spacing w:after="0" w:line="240" w:lineRule="auto"/>
        <w:rPr>
          <w:rFonts w:ascii="Georgia" w:hAnsi="Georgia"/>
        </w:rPr>
      </w:pPr>
      <w:r w:rsidRPr="00DE6F1F">
        <w:rPr>
          <w:rFonts w:ascii="Georgia" w:hAnsi="Georgia"/>
        </w:rPr>
        <w:t xml:space="preserve">The health care professional will complete the Ohio Living form </w:t>
      </w:r>
      <w:r w:rsidRPr="00DE6F1F">
        <w:rPr>
          <w:rFonts w:ascii="Georgia" w:hAnsi="Georgia"/>
          <w:b/>
          <w:u w:val="single"/>
        </w:rPr>
        <w:t xml:space="preserve">Medical Evaluation Report – Post-Exposure to Bloodborne </w:t>
      </w:r>
      <w:r w:rsidR="00DD7D92" w:rsidRPr="00DE6F1F">
        <w:rPr>
          <w:rFonts w:ascii="Georgia" w:hAnsi="Georgia"/>
          <w:b/>
          <w:u w:val="single"/>
        </w:rPr>
        <w:t>Pathogens</w:t>
      </w:r>
      <w:r w:rsidR="00DD7D92" w:rsidRPr="00DE6F1F">
        <w:rPr>
          <w:rFonts w:ascii="Georgia" w:hAnsi="Georgia"/>
        </w:rPr>
        <w:t xml:space="preserve"> and</w:t>
      </w:r>
      <w:r w:rsidRPr="00DE6F1F">
        <w:rPr>
          <w:rFonts w:ascii="Georgia" w:hAnsi="Georgia"/>
        </w:rPr>
        <w:t xml:space="preserve"> return the completed form to Human Resources.</w:t>
      </w:r>
    </w:p>
    <w:p w:rsidR="00DE6F1F" w:rsidRPr="00DE6F1F" w:rsidRDefault="00DE6F1F" w:rsidP="00D429FA">
      <w:pPr>
        <w:numPr>
          <w:ilvl w:val="0"/>
          <w:numId w:val="13"/>
        </w:numPr>
        <w:spacing w:after="0" w:line="240" w:lineRule="auto"/>
        <w:ind w:left="720"/>
        <w:rPr>
          <w:rFonts w:ascii="Georgia" w:hAnsi="Georgia"/>
        </w:rPr>
      </w:pPr>
      <w:bookmarkStart w:id="0" w:name="_GoBack"/>
      <w:bookmarkEnd w:id="0"/>
      <w:r w:rsidRPr="00DE6F1F">
        <w:rPr>
          <w:rFonts w:ascii="Georgia" w:hAnsi="Georgia"/>
        </w:rPr>
        <w:t xml:space="preserve">File the report in the employee’s confidential medical file, separate from the personnel file. </w:t>
      </w:r>
    </w:p>
    <w:p w:rsidR="00DE6F1F" w:rsidRDefault="00DE6F1F" w:rsidP="00D429FA">
      <w:pPr>
        <w:numPr>
          <w:ilvl w:val="0"/>
          <w:numId w:val="13"/>
        </w:numPr>
        <w:spacing w:after="0" w:line="240" w:lineRule="auto"/>
        <w:ind w:left="720"/>
        <w:rPr>
          <w:rFonts w:ascii="Georgia" w:hAnsi="Georgia"/>
        </w:rPr>
      </w:pPr>
      <w:r w:rsidRPr="00DE6F1F">
        <w:rPr>
          <w:rFonts w:ascii="Georgia" w:hAnsi="Georgia"/>
        </w:rPr>
        <w:t>Human Resources will provide a copy of the report to the employee within 15 days of completion of the evaluation.</w:t>
      </w:r>
    </w:p>
    <w:p w:rsidR="00DD7D92" w:rsidRPr="00DE6F1F" w:rsidRDefault="00DD7D92" w:rsidP="00D429FA">
      <w:pPr>
        <w:numPr>
          <w:ilvl w:val="0"/>
          <w:numId w:val="15"/>
        </w:numPr>
        <w:spacing w:after="0" w:line="240" w:lineRule="auto"/>
        <w:rPr>
          <w:rFonts w:ascii="Georgia" w:hAnsi="Georgia"/>
        </w:rPr>
      </w:pPr>
      <w:r>
        <w:rPr>
          <w:rFonts w:ascii="Georgia" w:hAnsi="Georgia" w:cs="Arial"/>
          <w:szCs w:val="20"/>
        </w:rPr>
        <w:t>I</w:t>
      </w:r>
      <w:r w:rsidRPr="00DD7D92">
        <w:rPr>
          <w:rFonts w:ascii="Georgia" w:hAnsi="Georgia" w:cs="Arial"/>
          <w:szCs w:val="20"/>
        </w:rPr>
        <w:t xml:space="preserve">njury logs </w:t>
      </w:r>
      <w:r>
        <w:rPr>
          <w:rFonts w:ascii="Georgia" w:hAnsi="Georgia" w:cs="Arial"/>
          <w:szCs w:val="20"/>
        </w:rPr>
        <w:t xml:space="preserve">will be maintained </w:t>
      </w:r>
      <w:r w:rsidRPr="00DD7D92">
        <w:rPr>
          <w:rFonts w:ascii="Georgia" w:hAnsi="Georgia" w:cs="Arial"/>
          <w:szCs w:val="20"/>
        </w:rPr>
        <w:t>to document needle stick injuries from contaminated sharp</w:t>
      </w:r>
      <w:r>
        <w:rPr>
          <w:rFonts w:ascii="Georgia" w:hAnsi="Georgia" w:cs="Arial"/>
          <w:szCs w:val="20"/>
        </w:rPr>
        <w:t xml:space="preserve">s. </w:t>
      </w:r>
    </w:p>
    <w:p w:rsidR="00DE6F1F" w:rsidRPr="00DE6F1F" w:rsidRDefault="00DE6F1F" w:rsidP="00D429FA">
      <w:pPr>
        <w:spacing w:after="0" w:line="240" w:lineRule="auto"/>
        <w:rPr>
          <w:rFonts w:ascii="Georgia" w:hAnsi="Georgia"/>
        </w:rPr>
      </w:pPr>
    </w:p>
    <w:p w:rsidR="00DE6F1F" w:rsidRPr="00DE6F1F" w:rsidRDefault="00DE6F1F" w:rsidP="00D429FA">
      <w:pPr>
        <w:spacing w:after="0" w:line="240" w:lineRule="auto"/>
        <w:rPr>
          <w:rFonts w:ascii="Georgia" w:hAnsi="Georgia"/>
        </w:rPr>
      </w:pPr>
    </w:p>
    <w:p w:rsidR="00DE6F1F" w:rsidRPr="00DE6F1F" w:rsidRDefault="00DE6F1F" w:rsidP="00D429FA">
      <w:pPr>
        <w:spacing w:after="0" w:line="240" w:lineRule="auto"/>
        <w:ind w:left="720"/>
        <w:rPr>
          <w:rFonts w:ascii="Georgia" w:hAnsi="Georgia"/>
        </w:rPr>
      </w:pPr>
    </w:p>
    <w:p w:rsidR="00DE6F1F" w:rsidRPr="00DE6F1F" w:rsidRDefault="00DE6F1F" w:rsidP="00D429FA">
      <w:pPr>
        <w:spacing w:after="0" w:line="240" w:lineRule="auto"/>
        <w:rPr>
          <w:rFonts w:ascii="Georgia" w:hAnsi="Georgia"/>
        </w:rPr>
      </w:pPr>
    </w:p>
    <w:sectPr w:rsidR="00DE6F1F" w:rsidRPr="00DE6F1F" w:rsidSect="00A7389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715" w:rsidRDefault="00F01715" w:rsidP="00004886">
      <w:pPr>
        <w:spacing w:after="0" w:line="240" w:lineRule="auto"/>
      </w:pPr>
      <w:r>
        <w:separator/>
      </w:r>
    </w:p>
  </w:endnote>
  <w:endnote w:type="continuationSeparator" w:id="0">
    <w:p w:rsidR="00F01715" w:rsidRDefault="00F0171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443269926"/>
      <w:docPartObj>
        <w:docPartGallery w:val="Page Numbers (Top of Page)"/>
        <w:docPartUnique/>
      </w:docPartObj>
    </w:sdtPr>
    <w:sdtEndPr/>
    <w:sdtContent>
      <w:p w:rsidR="00A7389E" w:rsidRPr="00A7389E" w:rsidRDefault="00A7389E" w:rsidP="00A7389E">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A7389E" w:rsidRDefault="003A605C" w:rsidP="00A7389E">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715" w:rsidRDefault="00F01715" w:rsidP="00004886">
      <w:pPr>
        <w:spacing w:after="0" w:line="240" w:lineRule="auto"/>
      </w:pPr>
      <w:r>
        <w:separator/>
      </w:r>
    </w:p>
  </w:footnote>
  <w:footnote w:type="continuationSeparator" w:id="0">
    <w:p w:rsidR="00F01715" w:rsidRDefault="00F0171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9B4F11"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6"/>
      <w:gridCol w:w="3114"/>
    </w:tblGrid>
    <w:tr w:rsidR="00A7389E" w:rsidRPr="00004886" w:rsidTr="00A7389E">
      <w:trPr>
        <w:trHeight w:val="432"/>
      </w:trPr>
      <w:tc>
        <w:tcPr>
          <w:tcW w:w="9350" w:type="dxa"/>
          <w:gridSpan w:val="3"/>
          <w:shd w:val="clear" w:color="auto" w:fill="D9D9D9" w:themeFill="background1" w:themeFillShade="D9"/>
          <w:vAlign w:val="center"/>
        </w:tcPr>
        <w:p w:rsidR="00A7389E" w:rsidRPr="0091763A" w:rsidRDefault="00A7389E" w:rsidP="00A7389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A7389E" w:rsidRPr="00004886" w:rsidTr="00A7389E">
      <w:trPr>
        <w:trHeight w:val="432"/>
      </w:trPr>
      <w:tc>
        <w:tcPr>
          <w:tcW w:w="9350" w:type="dxa"/>
          <w:gridSpan w:val="3"/>
          <w:vAlign w:val="center"/>
        </w:tcPr>
        <w:p w:rsidR="00A7389E" w:rsidRPr="00383057" w:rsidRDefault="00A7389E" w:rsidP="00A7389E">
          <w:pPr>
            <w:spacing w:after="0" w:line="240" w:lineRule="auto"/>
            <w:rPr>
              <w:rFonts w:ascii="Georgia" w:eastAsiaTheme="minorHAnsi" w:hAnsi="Georgia" w:cstheme="minorBidi"/>
            </w:rPr>
          </w:pPr>
          <w:r w:rsidRPr="00AC27F6">
            <w:rPr>
              <w:rFonts w:ascii="Georgia" w:eastAsiaTheme="minorHAnsi" w:hAnsi="Georgia" w:cstheme="minorBidi"/>
            </w:rPr>
            <w:t>Post Exposure to Bloodborne Pathogens</w:t>
          </w:r>
        </w:p>
      </w:tc>
    </w:tr>
    <w:tr w:rsidR="00017F74" w:rsidRPr="00004886" w:rsidTr="00A7389E">
      <w:tc>
        <w:tcPr>
          <w:tcW w:w="3120"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rsidTr="00A7389E">
      <w:tc>
        <w:tcPr>
          <w:tcW w:w="3120" w:type="dxa"/>
        </w:tcPr>
        <w:p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6" w:type="dxa"/>
          <w:tcMar>
            <w:top w:w="115" w:type="dxa"/>
            <w:left w:w="115" w:type="dxa"/>
            <w:bottom w:w="115" w:type="dxa"/>
            <w:right w:w="115" w:type="dxa"/>
          </w:tcMar>
        </w:tcPr>
        <w:p w:rsidR="00017F74" w:rsidRPr="00383057" w:rsidRDefault="00D429FA" w:rsidP="00D755F0">
          <w:pPr>
            <w:spacing w:after="0" w:line="240" w:lineRule="auto"/>
            <w:rPr>
              <w:rFonts w:ascii="Georgia" w:eastAsiaTheme="minorHAnsi" w:hAnsi="Georgia" w:cstheme="minorBidi"/>
            </w:rPr>
          </w:pPr>
          <w:r>
            <w:rPr>
              <w:rFonts w:ascii="Georgia" w:eastAsiaTheme="minorHAnsi" w:hAnsi="Georgia" w:cstheme="minorBidi"/>
            </w:rPr>
            <w:t>04/21/2023</w:t>
          </w:r>
        </w:p>
      </w:tc>
      <w:tc>
        <w:tcPr>
          <w:tcW w:w="3114" w:type="dxa"/>
        </w:tcPr>
        <w:p w:rsidR="00017F74" w:rsidRPr="00383057" w:rsidRDefault="00D429FA" w:rsidP="00D755F0">
          <w:pPr>
            <w:spacing w:after="0" w:line="240" w:lineRule="auto"/>
            <w:rPr>
              <w:rFonts w:ascii="Georgia" w:eastAsiaTheme="minorHAnsi" w:hAnsi="Georgia" w:cstheme="minorBidi"/>
            </w:rPr>
          </w:pPr>
          <w:r>
            <w:rPr>
              <w:rFonts w:ascii="Georgia" w:eastAsiaTheme="minorHAnsi" w:hAnsi="Georgia" w:cstheme="minorBidi"/>
            </w:rPr>
            <w:t>04/21/2025</w:t>
          </w:r>
        </w:p>
      </w:tc>
    </w:tr>
    <w:tr w:rsidR="00A7389E" w:rsidRPr="00004886" w:rsidTr="00A7389E">
      <w:trPr>
        <w:trHeight w:val="432"/>
      </w:trPr>
      <w:tc>
        <w:tcPr>
          <w:tcW w:w="9350" w:type="dxa"/>
          <w:gridSpan w:val="3"/>
          <w:shd w:val="clear" w:color="auto" w:fill="D9D9D9" w:themeFill="background1" w:themeFillShade="D9"/>
          <w:vAlign w:val="center"/>
        </w:tcPr>
        <w:p w:rsidR="00A7389E" w:rsidRPr="0091763A" w:rsidRDefault="00A7389E" w:rsidP="00A7389E">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A7389E" w:rsidRPr="00004886" w:rsidTr="00A7389E">
      <w:trPr>
        <w:trHeight w:val="576"/>
      </w:trPr>
      <w:tc>
        <w:tcPr>
          <w:tcW w:w="9350" w:type="dxa"/>
          <w:gridSpan w:val="3"/>
          <w:vAlign w:val="center"/>
        </w:tcPr>
        <w:p w:rsidR="00A7389E" w:rsidRPr="00383057" w:rsidRDefault="00A7389E" w:rsidP="00A7389E">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rsidTr="00A7389E">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rsidTr="00A7389E">
      <w:tc>
        <w:tcPr>
          <w:tcW w:w="9350" w:type="dxa"/>
          <w:gridSpan w:val="3"/>
          <w:shd w:val="clear" w:color="auto" w:fill="auto"/>
          <w:tcMar>
            <w:top w:w="115" w:type="dxa"/>
            <w:left w:w="115" w:type="dxa"/>
            <w:bottom w:w="115" w:type="dxa"/>
            <w:right w:w="115" w:type="dxa"/>
          </w:tcMar>
        </w:tcPr>
        <w:p w:rsidR="00017F74" w:rsidRPr="00383057" w:rsidRDefault="00017F74" w:rsidP="00D755F0">
          <w:pPr>
            <w:spacing w:after="0" w:line="240" w:lineRule="auto"/>
            <w:rPr>
              <w:rFonts w:ascii="Georgia" w:eastAsiaTheme="minorHAnsi" w:hAnsi="Georgia" w:cstheme="minorBidi"/>
            </w:rPr>
          </w:pPr>
        </w:p>
      </w:tc>
    </w:tr>
  </w:tbl>
  <w:p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42DCC"/>
    <w:multiLevelType w:val="singleLevel"/>
    <w:tmpl w:val="04090019"/>
    <w:lvl w:ilvl="0">
      <w:start w:val="1"/>
      <w:numFmt w:val="lowerLetter"/>
      <w:lvlText w:val="%1."/>
      <w:lvlJc w:val="left"/>
      <w:pPr>
        <w:ind w:left="720" w:hanging="360"/>
      </w:pPr>
      <w:rPr>
        <w:rFonts w:hint="default"/>
      </w:rPr>
    </w:lvl>
  </w:abstractNum>
  <w:abstractNum w:abstractNumId="2" w15:restartNumberingAfterBreak="0">
    <w:nsid w:val="0FBE2CE3"/>
    <w:multiLevelType w:val="singleLevel"/>
    <w:tmpl w:val="04090015"/>
    <w:lvl w:ilvl="0">
      <w:start w:val="1"/>
      <w:numFmt w:val="upperLetter"/>
      <w:lvlText w:val="%1."/>
      <w:lvlJc w:val="left"/>
      <w:pPr>
        <w:ind w:left="720" w:hanging="360"/>
      </w:pPr>
      <w:rPr>
        <w:rFonts w:hint="default"/>
      </w:rPr>
    </w:lvl>
  </w:abstractNum>
  <w:abstractNum w:abstractNumId="3" w15:restartNumberingAfterBreak="0">
    <w:nsid w:val="11DD7C3C"/>
    <w:multiLevelType w:val="singleLevel"/>
    <w:tmpl w:val="04090019"/>
    <w:lvl w:ilvl="0">
      <w:start w:val="1"/>
      <w:numFmt w:val="lowerLetter"/>
      <w:lvlText w:val="%1."/>
      <w:lvlJc w:val="left"/>
      <w:pPr>
        <w:ind w:left="1080" w:hanging="360"/>
      </w:pPr>
      <w:rPr>
        <w:rFonts w:hint="default"/>
      </w:rPr>
    </w:lvl>
  </w:abstractNum>
  <w:abstractNum w:abstractNumId="4" w15:restartNumberingAfterBreak="0">
    <w:nsid w:val="17D864F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6F70285"/>
    <w:multiLevelType w:val="hybridMultilevel"/>
    <w:tmpl w:val="5BCC30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A3751"/>
    <w:multiLevelType w:val="singleLevel"/>
    <w:tmpl w:val="04090019"/>
    <w:lvl w:ilvl="0">
      <w:start w:val="1"/>
      <w:numFmt w:val="lowerLetter"/>
      <w:lvlText w:val="%1."/>
      <w:lvlJc w:val="left"/>
      <w:pPr>
        <w:ind w:left="1080" w:hanging="360"/>
      </w:pPr>
      <w:rPr>
        <w:rFonts w:hint="default"/>
      </w:r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392DBB"/>
    <w:multiLevelType w:val="singleLevel"/>
    <w:tmpl w:val="82E06BA4"/>
    <w:lvl w:ilvl="0">
      <w:start w:val="1"/>
      <w:numFmt w:val="lowerRoman"/>
      <w:lvlText w:val="%1."/>
      <w:lvlJc w:val="left"/>
      <w:pPr>
        <w:ind w:left="1080" w:hanging="360"/>
      </w:pPr>
      <w:rPr>
        <w:rFonts w:hint="default"/>
      </w:rPr>
    </w:lvl>
  </w:abstractNum>
  <w:abstractNum w:abstractNumId="9" w15:restartNumberingAfterBreak="0">
    <w:nsid w:val="4AB712F1"/>
    <w:multiLevelType w:val="hybridMultilevel"/>
    <w:tmpl w:val="A956D674"/>
    <w:lvl w:ilvl="0" w:tplc="69E02C52">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E50AA"/>
    <w:multiLevelType w:val="singleLevel"/>
    <w:tmpl w:val="82E06BA4"/>
    <w:lvl w:ilvl="0">
      <w:start w:val="1"/>
      <w:numFmt w:val="lowerRoman"/>
      <w:lvlText w:val="%1."/>
      <w:lvlJc w:val="left"/>
      <w:pPr>
        <w:ind w:left="720" w:hanging="360"/>
      </w:pPr>
      <w:rPr>
        <w:rFonts w:hint="default"/>
      </w:rPr>
    </w:lvl>
  </w:abstractNum>
  <w:abstractNum w:abstractNumId="12" w15:restartNumberingAfterBreak="0">
    <w:nsid w:val="6823574F"/>
    <w:multiLevelType w:val="singleLevel"/>
    <w:tmpl w:val="04090015"/>
    <w:lvl w:ilvl="0">
      <w:start w:val="1"/>
      <w:numFmt w:val="upperLetter"/>
      <w:lvlText w:val="%1."/>
      <w:lvlJc w:val="left"/>
      <w:pPr>
        <w:ind w:left="1080" w:hanging="360"/>
      </w:pPr>
      <w:rPr>
        <w:rFonts w:hint="default"/>
      </w:r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606BC6"/>
    <w:multiLevelType w:val="singleLevel"/>
    <w:tmpl w:val="FECA3692"/>
    <w:lvl w:ilvl="0">
      <w:start w:val="1"/>
      <w:numFmt w:val="lowerLetter"/>
      <w:lvlText w:val="%1."/>
      <w:lvlJc w:val="left"/>
      <w:pPr>
        <w:tabs>
          <w:tab w:val="num" w:pos="1080"/>
        </w:tabs>
        <w:ind w:left="1080" w:hanging="360"/>
      </w:pPr>
      <w:rPr>
        <w:rFonts w:hint="default"/>
      </w:rPr>
    </w:lvl>
  </w:abstractNum>
  <w:num w:numId="1">
    <w:abstractNumId w:val="0"/>
  </w:num>
  <w:num w:numId="2">
    <w:abstractNumId w:val="13"/>
  </w:num>
  <w:num w:numId="3">
    <w:abstractNumId w:val="7"/>
  </w:num>
  <w:num w:numId="4">
    <w:abstractNumId w:val="10"/>
  </w:num>
  <w:num w:numId="5">
    <w:abstractNumId w:val="4"/>
  </w:num>
  <w:num w:numId="6">
    <w:abstractNumId w:val="6"/>
  </w:num>
  <w:num w:numId="7">
    <w:abstractNumId w:val="8"/>
  </w:num>
  <w:num w:numId="8">
    <w:abstractNumId w:val="1"/>
  </w:num>
  <w:num w:numId="9">
    <w:abstractNumId w:val="12"/>
  </w:num>
  <w:num w:numId="10">
    <w:abstractNumId w:val="14"/>
  </w:num>
  <w:num w:numId="11">
    <w:abstractNumId w:val="11"/>
  </w:num>
  <w:num w:numId="12">
    <w:abstractNumId w:val="2"/>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70BDF"/>
    <w:rsid w:val="000E0733"/>
    <w:rsid w:val="000E77DD"/>
    <w:rsid w:val="00126981"/>
    <w:rsid w:val="002174C0"/>
    <w:rsid w:val="003619C0"/>
    <w:rsid w:val="00366B62"/>
    <w:rsid w:val="00383057"/>
    <w:rsid w:val="003A605C"/>
    <w:rsid w:val="004039FB"/>
    <w:rsid w:val="00496194"/>
    <w:rsid w:val="004B00A2"/>
    <w:rsid w:val="004F7E1E"/>
    <w:rsid w:val="005145B9"/>
    <w:rsid w:val="005272FF"/>
    <w:rsid w:val="006318B2"/>
    <w:rsid w:val="00636251"/>
    <w:rsid w:val="0064513A"/>
    <w:rsid w:val="006772EC"/>
    <w:rsid w:val="00721119"/>
    <w:rsid w:val="00744C01"/>
    <w:rsid w:val="007D240F"/>
    <w:rsid w:val="00806F6F"/>
    <w:rsid w:val="00857EA6"/>
    <w:rsid w:val="008F49D4"/>
    <w:rsid w:val="00914055"/>
    <w:rsid w:val="0091763A"/>
    <w:rsid w:val="00922775"/>
    <w:rsid w:val="009342A6"/>
    <w:rsid w:val="009B4F11"/>
    <w:rsid w:val="00A7389E"/>
    <w:rsid w:val="00AA4F8A"/>
    <w:rsid w:val="00AB26DD"/>
    <w:rsid w:val="00AC27F6"/>
    <w:rsid w:val="00AC317F"/>
    <w:rsid w:val="00AF7CAE"/>
    <w:rsid w:val="00BA51C0"/>
    <w:rsid w:val="00BD733B"/>
    <w:rsid w:val="00C70850"/>
    <w:rsid w:val="00CB5CE9"/>
    <w:rsid w:val="00D429FA"/>
    <w:rsid w:val="00D47035"/>
    <w:rsid w:val="00DD17C5"/>
    <w:rsid w:val="00DD7D92"/>
    <w:rsid w:val="00DE6F1F"/>
    <w:rsid w:val="00DF7A56"/>
    <w:rsid w:val="00E547EA"/>
    <w:rsid w:val="00E62C10"/>
    <w:rsid w:val="00E810E1"/>
    <w:rsid w:val="00F01715"/>
    <w:rsid w:val="00F107CD"/>
    <w:rsid w:val="00F36057"/>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8E892"/>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
    <w:name w:val="Body Text"/>
    <w:basedOn w:val="Normal"/>
    <w:link w:val="BodyTextChar"/>
    <w:semiHidden/>
    <w:rsid w:val="00DE6F1F"/>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DE6F1F"/>
    <w:rPr>
      <w:rFonts w:ascii="Arial" w:eastAsia="Times New Roman" w:hAnsi="Arial"/>
      <w:sz w:val="24"/>
    </w:rPr>
  </w:style>
  <w:style w:type="paragraph" w:styleId="Revision">
    <w:name w:val="Revision"/>
    <w:hidden/>
    <w:uiPriority w:val="99"/>
    <w:semiHidden/>
    <w:rsid w:val="00A738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dcterms:created xsi:type="dcterms:W3CDTF">2023-05-22T14:31:00Z</dcterms:created>
  <dcterms:modified xsi:type="dcterms:W3CDTF">2023-05-22T14:33:00Z</dcterms:modified>
</cp:coreProperties>
</file>