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B989B" w14:textId="77777777" w:rsidR="00AA7F0B" w:rsidRDefault="00AA7F0B" w:rsidP="00B72F7D">
      <w:pPr>
        <w:pStyle w:val="Heading3"/>
        <w:spacing w:line="360" w:lineRule="auto"/>
        <w:rPr>
          <w:rFonts w:ascii="Avenir" w:hAnsi="Avenir"/>
          <w:sz w:val="22"/>
        </w:rPr>
      </w:pPr>
      <w:r w:rsidRPr="005F4D1B">
        <w:rPr>
          <w:rFonts w:ascii="Avenir" w:hAnsi="Avenir"/>
          <w:sz w:val="22"/>
        </w:rPr>
        <w:t>PURPOSE</w:t>
      </w:r>
    </w:p>
    <w:p w14:paraId="3F3A646D" w14:textId="77777777" w:rsidR="0000701E" w:rsidRPr="0000701E" w:rsidRDefault="0000701E" w:rsidP="0000701E">
      <w:pPr>
        <w:spacing w:after="0" w:line="240" w:lineRule="auto"/>
        <w:rPr>
          <w:rFonts w:ascii="Georgia" w:eastAsia="Times New Roman" w:hAnsi="Georgia"/>
        </w:rPr>
      </w:pPr>
      <w:r w:rsidRPr="0000701E">
        <w:rPr>
          <w:rFonts w:ascii="Georgia" w:eastAsia="Times New Roman" w:hAnsi="Georgia"/>
        </w:rPr>
        <w:t>To provide guidelines for the appropriate identification and management of patients who may experience pain.</w:t>
      </w:r>
    </w:p>
    <w:p w14:paraId="3E2B75A6" w14:textId="77777777" w:rsidR="00151D73" w:rsidRPr="005F4D1B" w:rsidRDefault="00151D73" w:rsidP="00AA7F0B">
      <w:pPr>
        <w:pStyle w:val="Heading3"/>
        <w:rPr>
          <w:rFonts w:ascii="Avenir" w:hAnsi="Avenir"/>
          <w:sz w:val="22"/>
        </w:rPr>
      </w:pPr>
    </w:p>
    <w:p w14:paraId="244D4928" w14:textId="77777777" w:rsidR="005F4D1B" w:rsidRDefault="005F4D1B" w:rsidP="00B72F7D">
      <w:pPr>
        <w:pStyle w:val="Heading3"/>
        <w:spacing w:line="360" w:lineRule="auto"/>
        <w:rPr>
          <w:rFonts w:ascii="Avenir" w:hAnsi="Avenir"/>
          <w:sz w:val="22"/>
        </w:rPr>
      </w:pPr>
      <w:bookmarkStart w:id="0" w:name="_Hlk6578093"/>
      <w:r w:rsidRPr="005F4D1B">
        <w:rPr>
          <w:rFonts w:ascii="Avenir" w:hAnsi="Avenir"/>
          <w:sz w:val="22"/>
        </w:rPr>
        <w:t>P</w:t>
      </w:r>
      <w:r>
        <w:rPr>
          <w:rFonts w:ascii="Avenir" w:hAnsi="Avenir"/>
          <w:sz w:val="22"/>
        </w:rPr>
        <w:t>olicy</w:t>
      </w:r>
    </w:p>
    <w:p w14:paraId="43FC53EE" w14:textId="20C27E12" w:rsidR="0000701E" w:rsidRPr="0000701E" w:rsidRDefault="0000701E" w:rsidP="0000701E">
      <w:pPr>
        <w:spacing w:after="0" w:line="240" w:lineRule="auto"/>
        <w:rPr>
          <w:rFonts w:ascii="Georgia" w:eastAsia="Times New Roman" w:hAnsi="Georgia"/>
        </w:rPr>
      </w:pPr>
      <w:r w:rsidRPr="0000701E">
        <w:rPr>
          <w:rFonts w:ascii="Georgia" w:eastAsia="Times New Roman" w:hAnsi="Georgia"/>
        </w:rPr>
        <w:t>All patients will receive pain assessments. Pain assessments will be appropriate to the patient’s ag</w:t>
      </w:r>
      <w:r w:rsidR="00C070D2">
        <w:rPr>
          <w:rFonts w:ascii="Georgia" w:eastAsia="Times New Roman" w:hAnsi="Georgia"/>
        </w:rPr>
        <w:t>e</w:t>
      </w:r>
      <w:r w:rsidR="003417D3">
        <w:rPr>
          <w:rFonts w:ascii="Georgia" w:eastAsia="Times New Roman" w:hAnsi="Georgia"/>
        </w:rPr>
        <w:t>, cognitive ability,</w:t>
      </w:r>
      <w:r w:rsidRPr="0000701E">
        <w:rPr>
          <w:rFonts w:ascii="Georgia" w:eastAsia="Times New Roman" w:hAnsi="Georgia"/>
        </w:rPr>
        <w:t xml:space="preserve"> and will be documented to facilitate regular reassessment and follow-up by clinicians.</w:t>
      </w:r>
    </w:p>
    <w:p w14:paraId="422CA77B" w14:textId="77777777" w:rsidR="00151D73" w:rsidRDefault="00151D73" w:rsidP="005F4D1B">
      <w:pPr>
        <w:pStyle w:val="Heading3"/>
        <w:rPr>
          <w:rFonts w:ascii="Avenir" w:hAnsi="Avenir"/>
          <w:sz w:val="22"/>
        </w:rPr>
      </w:pPr>
    </w:p>
    <w:bookmarkEnd w:id="0"/>
    <w:p w14:paraId="4621E13D" w14:textId="77777777" w:rsidR="007C4A04" w:rsidRDefault="00D927EC" w:rsidP="00B72F7D">
      <w:pPr>
        <w:pStyle w:val="Heading3"/>
        <w:spacing w:line="360" w:lineRule="auto"/>
        <w:rPr>
          <w:rFonts w:ascii="Avenir" w:hAnsi="Avenir"/>
          <w:sz w:val="22"/>
        </w:rPr>
      </w:pPr>
      <w:r w:rsidRPr="005F4D1B">
        <w:rPr>
          <w:rFonts w:ascii="Avenir" w:hAnsi="Avenir"/>
          <w:sz w:val="22"/>
        </w:rPr>
        <w:t>P</w:t>
      </w:r>
      <w:r>
        <w:rPr>
          <w:rFonts w:ascii="Avenir" w:hAnsi="Avenir"/>
          <w:sz w:val="22"/>
        </w:rPr>
        <w:t>RocEDURE</w:t>
      </w:r>
    </w:p>
    <w:p w14:paraId="1CCACCE9" w14:textId="77777777" w:rsidR="0000701E" w:rsidRPr="0000701E" w:rsidRDefault="0000701E" w:rsidP="0000701E">
      <w:pPr>
        <w:numPr>
          <w:ilvl w:val="0"/>
          <w:numId w:val="8"/>
        </w:numPr>
        <w:spacing w:after="0" w:line="240" w:lineRule="auto"/>
        <w:ind w:left="432" w:hanging="432"/>
        <w:rPr>
          <w:rFonts w:ascii="Georgia" w:eastAsia="Times New Roman" w:hAnsi="Georgia"/>
        </w:rPr>
      </w:pPr>
      <w:r w:rsidRPr="0000701E">
        <w:rPr>
          <w:rFonts w:ascii="Georgia" w:eastAsia="Times New Roman" w:hAnsi="Georgia"/>
        </w:rPr>
        <w:t xml:space="preserve">During the initial assessment and on an ongoing basis, the patient will be </w:t>
      </w:r>
      <w:proofErr w:type="gramStart"/>
      <w:r w:rsidRPr="0000701E">
        <w:rPr>
          <w:rFonts w:ascii="Georgia" w:eastAsia="Times New Roman" w:hAnsi="Georgia"/>
        </w:rPr>
        <w:t>asked  general</w:t>
      </w:r>
      <w:proofErr w:type="gramEnd"/>
      <w:r w:rsidRPr="0000701E">
        <w:rPr>
          <w:rFonts w:ascii="Georgia" w:eastAsia="Times New Roman" w:hAnsi="Georgia"/>
        </w:rPr>
        <w:t xml:space="preserve"> screening question</w:t>
      </w:r>
      <w:r w:rsidR="00C97FA1">
        <w:rPr>
          <w:rFonts w:ascii="Georgia" w:eastAsia="Times New Roman" w:hAnsi="Georgia"/>
        </w:rPr>
        <w:t>s</w:t>
      </w:r>
      <w:r w:rsidRPr="0000701E">
        <w:rPr>
          <w:rFonts w:ascii="Georgia" w:eastAsia="Times New Roman" w:hAnsi="Georgia"/>
        </w:rPr>
        <w:t xml:space="preserve"> regarding current or recent pain as part of the baseline data.  Clinicians will consider the patient’s personal, cultural, spiritual, and ethnic beliefs when assessing pain or discomfort.</w:t>
      </w:r>
    </w:p>
    <w:p w14:paraId="2B23C1C4" w14:textId="77777777" w:rsidR="0000701E" w:rsidRPr="0000701E" w:rsidRDefault="0000701E" w:rsidP="0000701E">
      <w:pPr>
        <w:numPr>
          <w:ilvl w:val="0"/>
          <w:numId w:val="8"/>
        </w:numPr>
        <w:spacing w:after="0" w:line="240" w:lineRule="auto"/>
        <w:ind w:left="432" w:hanging="432"/>
        <w:rPr>
          <w:rFonts w:ascii="Georgia" w:eastAsia="Times New Roman" w:hAnsi="Georgia"/>
        </w:rPr>
      </w:pPr>
      <w:r w:rsidRPr="0000701E">
        <w:rPr>
          <w:rFonts w:ascii="Georgia" w:eastAsia="Times New Roman" w:hAnsi="Georgia"/>
        </w:rPr>
        <w:t xml:space="preserve">When the patient or the clinician identifies pain, the following in-depth pain assessment information will be obtained whenever possible: </w:t>
      </w:r>
    </w:p>
    <w:p w14:paraId="15CD3BBF"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 xml:space="preserve">Pain intensity using a rating scale (on a scale of 0 – 10: 0 = no pain, 10 = unbearable pain).  Pain intensity should include current pain, worst pain, and least pain using the scale.  The patient will be reassessed every visit for the existence and intensity of pain and the effectiveness of interventions to relieve pain.  </w:t>
      </w:r>
    </w:p>
    <w:p w14:paraId="7D79C30F"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Pain location.</w:t>
      </w:r>
    </w:p>
    <w:p w14:paraId="433D0AE3"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Pain quality, patterns of radiation, and character.  Use the patient’s own words whenever possible.</w:t>
      </w:r>
    </w:p>
    <w:p w14:paraId="17D78ACC"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Pain onset, duration, variations, and patterns.</w:t>
      </w:r>
    </w:p>
    <w:p w14:paraId="42F46FE7"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Alleviating and aggravating factors.</w:t>
      </w:r>
    </w:p>
    <w:p w14:paraId="3675C8CF"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Present pain management regimen and effectiveness.</w:t>
      </w:r>
    </w:p>
    <w:p w14:paraId="5FA58982"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Pain management history may include:</w:t>
      </w:r>
    </w:p>
    <w:p w14:paraId="6C993809" w14:textId="77777777" w:rsidR="0000701E" w:rsidRPr="0000701E" w:rsidRDefault="0000701E" w:rsidP="00B72F7D">
      <w:pPr>
        <w:widowControl w:val="0"/>
        <w:numPr>
          <w:ilvl w:val="1"/>
          <w:numId w:val="9"/>
        </w:numPr>
        <w:tabs>
          <w:tab w:val="clear" w:pos="1890"/>
        </w:tabs>
        <w:spacing w:after="0" w:line="240" w:lineRule="auto"/>
        <w:ind w:left="1800"/>
        <w:rPr>
          <w:rFonts w:ascii="Georgia" w:eastAsia="Times New Roman" w:hAnsi="Georgia"/>
        </w:rPr>
      </w:pPr>
      <w:r w:rsidRPr="0000701E">
        <w:rPr>
          <w:rFonts w:ascii="Georgia" w:eastAsia="Times New Roman" w:hAnsi="Georgia"/>
        </w:rPr>
        <w:t>A medication history</w:t>
      </w:r>
    </w:p>
    <w:p w14:paraId="4D079C1E" w14:textId="77777777" w:rsidR="0000701E" w:rsidRPr="0000701E" w:rsidRDefault="0000701E" w:rsidP="00B72F7D">
      <w:pPr>
        <w:widowControl w:val="0"/>
        <w:numPr>
          <w:ilvl w:val="1"/>
          <w:numId w:val="9"/>
        </w:numPr>
        <w:tabs>
          <w:tab w:val="clear" w:pos="1890"/>
        </w:tabs>
        <w:spacing w:after="0" w:line="240" w:lineRule="auto"/>
        <w:ind w:left="1800"/>
        <w:rPr>
          <w:rFonts w:ascii="Georgia" w:eastAsia="Times New Roman" w:hAnsi="Georgia"/>
        </w:rPr>
      </w:pPr>
      <w:r w:rsidRPr="0000701E">
        <w:rPr>
          <w:rFonts w:ascii="Georgia" w:eastAsia="Times New Roman" w:hAnsi="Georgia"/>
        </w:rPr>
        <w:t>Presence of common barriers to reporting pain and using analgesics</w:t>
      </w:r>
    </w:p>
    <w:p w14:paraId="37FD05A3" w14:textId="77777777" w:rsidR="0000701E" w:rsidRPr="0000701E" w:rsidRDefault="0000701E" w:rsidP="00B72F7D">
      <w:pPr>
        <w:widowControl w:val="0"/>
        <w:numPr>
          <w:ilvl w:val="1"/>
          <w:numId w:val="9"/>
        </w:numPr>
        <w:tabs>
          <w:tab w:val="clear" w:pos="1890"/>
        </w:tabs>
        <w:spacing w:after="0" w:line="240" w:lineRule="auto"/>
        <w:ind w:left="1800"/>
        <w:rPr>
          <w:rFonts w:ascii="Georgia" w:eastAsia="Times New Roman" w:hAnsi="Georgia"/>
        </w:rPr>
      </w:pPr>
      <w:r w:rsidRPr="0000701E">
        <w:rPr>
          <w:rFonts w:ascii="Georgia" w:eastAsia="Times New Roman" w:hAnsi="Georgia"/>
        </w:rPr>
        <w:t>Past interventions and response</w:t>
      </w:r>
    </w:p>
    <w:p w14:paraId="00CE16C9"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lastRenderedPageBreak/>
        <w:t>Effects of pain.  These include impact on daily life, function, sleep, appetite, relationships with others, emotions, concentration, etc.</w:t>
      </w:r>
    </w:p>
    <w:p w14:paraId="7D4CC4F4"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The patient’s pain goal</w:t>
      </w:r>
    </w:p>
    <w:p w14:paraId="052CBDBB"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Physical exam or observation of the site of pain.</w:t>
      </w:r>
    </w:p>
    <w:p w14:paraId="20775BF8" w14:textId="77777777" w:rsidR="0000701E" w:rsidRPr="0000701E" w:rsidRDefault="0000701E" w:rsidP="00B72F7D">
      <w:pPr>
        <w:widowControl w:val="0"/>
        <w:numPr>
          <w:ilvl w:val="0"/>
          <w:numId w:val="9"/>
        </w:numPr>
        <w:tabs>
          <w:tab w:val="clear" w:pos="972"/>
        </w:tabs>
        <w:spacing w:after="0" w:line="240" w:lineRule="auto"/>
        <w:ind w:left="1080" w:hanging="360"/>
        <w:rPr>
          <w:rFonts w:ascii="Georgia" w:eastAsia="Times New Roman" w:hAnsi="Georgia"/>
        </w:rPr>
      </w:pPr>
      <w:r w:rsidRPr="0000701E">
        <w:rPr>
          <w:rFonts w:ascii="Georgia" w:eastAsia="Times New Roman" w:hAnsi="Georgia"/>
        </w:rPr>
        <w:t xml:space="preserve">Secondary symptoms related to pain such as nausea, vomiting, respiratory distress, or nutritional compromise. </w:t>
      </w:r>
    </w:p>
    <w:p w14:paraId="1E0FF2F1" w14:textId="77777777" w:rsidR="0000701E" w:rsidRPr="0000701E" w:rsidRDefault="0000701E" w:rsidP="0000701E">
      <w:pPr>
        <w:numPr>
          <w:ilvl w:val="0"/>
          <w:numId w:val="8"/>
        </w:numPr>
        <w:spacing w:after="0" w:line="240" w:lineRule="auto"/>
        <w:ind w:left="432" w:hanging="432"/>
        <w:rPr>
          <w:rFonts w:ascii="Georgia" w:eastAsia="Times New Roman" w:hAnsi="Georgia"/>
        </w:rPr>
      </w:pPr>
      <w:r w:rsidRPr="0000701E">
        <w:rPr>
          <w:rFonts w:ascii="Georgia" w:eastAsia="Times New Roman" w:hAnsi="Georgia"/>
        </w:rPr>
        <w:t xml:space="preserve">If patient is unable to communicate pain using the rating </w:t>
      </w:r>
      <w:proofErr w:type="gramStart"/>
      <w:r w:rsidRPr="0000701E">
        <w:rPr>
          <w:rFonts w:ascii="Georgia" w:eastAsia="Times New Roman" w:hAnsi="Georgia"/>
        </w:rPr>
        <w:t>scale, or</w:t>
      </w:r>
      <w:proofErr w:type="gramEnd"/>
      <w:r w:rsidRPr="0000701E">
        <w:rPr>
          <w:rFonts w:ascii="Georgia" w:eastAsia="Times New Roman" w:hAnsi="Georgia"/>
        </w:rPr>
        <w:t xml:space="preserve"> is cognitively impaired the clinician will assess behavioral factors that signal pain or discomfort and include this information in the assessment.</w:t>
      </w:r>
      <w:r w:rsidR="00C97FA1">
        <w:rPr>
          <w:rFonts w:ascii="Georgia" w:eastAsia="Times New Roman" w:hAnsi="Georgia"/>
        </w:rPr>
        <w:t xml:space="preserve">  </w:t>
      </w:r>
    </w:p>
    <w:p w14:paraId="64E7C3B7" w14:textId="77777777" w:rsidR="0000701E" w:rsidRPr="0000701E" w:rsidRDefault="0000701E" w:rsidP="0000701E">
      <w:pPr>
        <w:spacing w:after="0" w:line="240" w:lineRule="auto"/>
        <w:rPr>
          <w:rFonts w:ascii="Georgia" w:eastAsia="Times New Roman" w:hAnsi="Georgia"/>
        </w:rPr>
      </w:pPr>
    </w:p>
    <w:p w14:paraId="2A4C3E37" w14:textId="77777777" w:rsidR="0000701E" w:rsidRPr="0000701E" w:rsidRDefault="0000701E" w:rsidP="0000701E">
      <w:pPr>
        <w:keepNext/>
        <w:spacing w:after="0" w:line="240" w:lineRule="auto"/>
        <w:outlineLvl w:val="3"/>
        <w:rPr>
          <w:rFonts w:ascii="Georgia" w:eastAsia="Times New Roman" w:hAnsi="Georgia"/>
          <w:b/>
          <w:bCs/>
          <w:i/>
        </w:rPr>
      </w:pPr>
      <w:r w:rsidRPr="0000701E">
        <w:rPr>
          <w:rFonts w:ascii="Georgia" w:eastAsia="Times New Roman" w:hAnsi="Georgia"/>
          <w:b/>
          <w:bCs/>
          <w:i/>
        </w:rPr>
        <w:t>Pain Management</w:t>
      </w:r>
    </w:p>
    <w:p w14:paraId="49FB8BB0" w14:textId="77777777" w:rsidR="0000701E" w:rsidRPr="0000701E" w:rsidRDefault="0000701E" w:rsidP="0000701E">
      <w:pPr>
        <w:pStyle w:val="ListParagraph"/>
        <w:numPr>
          <w:ilvl w:val="0"/>
          <w:numId w:val="18"/>
        </w:numPr>
        <w:spacing w:after="0" w:line="240" w:lineRule="auto"/>
        <w:ind w:left="360"/>
        <w:rPr>
          <w:rFonts w:ascii="Georgia" w:eastAsia="Times New Roman" w:hAnsi="Georgia"/>
        </w:rPr>
      </w:pPr>
      <w:r w:rsidRPr="0000701E">
        <w:rPr>
          <w:rFonts w:ascii="Georgia" w:eastAsia="Times New Roman" w:hAnsi="Georgia"/>
        </w:rPr>
        <w:t>The patient’s preferences for pain management will be reflected in the pain control measures selected.</w:t>
      </w:r>
    </w:p>
    <w:p w14:paraId="522AB242" w14:textId="77777777" w:rsidR="0000701E" w:rsidRPr="0000701E" w:rsidRDefault="0000701E" w:rsidP="0000701E">
      <w:pPr>
        <w:pStyle w:val="ListParagraph"/>
        <w:numPr>
          <w:ilvl w:val="0"/>
          <w:numId w:val="18"/>
        </w:numPr>
        <w:spacing w:after="0" w:line="240" w:lineRule="auto"/>
        <w:ind w:left="360"/>
        <w:rPr>
          <w:rFonts w:ascii="Georgia" w:eastAsia="Times New Roman" w:hAnsi="Georgia"/>
        </w:rPr>
      </w:pPr>
      <w:r w:rsidRPr="0000701E">
        <w:rPr>
          <w:rFonts w:ascii="Georgia" w:eastAsia="Times New Roman" w:hAnsi="Georgia"/>
        </w:rPr>
        <w:t>No</w:t>
      </w:r>
      <w:bookmarkStart w:id="1" w:name="_GoBack"/>
      <w:bookmarkEnd w:id="1"/>
      <w:r w:rsidRPr="0000701E">
        <w:rPr>
          <w:rFonts w:ascii="Georgia" w:eastAsia="Times New Roman" w:hAnsi="Georgia"/>
        </w:rPr>
        <w:t>npharmacological interventions will be considered for the treatment of pain</w:t>
      </w:r>
    </w:p>
    <w:p w14:paraId="4B056737" w14:textId="77777777" w:rsidR="0000701E" w:rsidRPr="0000701E" w:rsidRDefault="0000701E" w:rsidP="0000701E">
      <w:pPr>
        <w:pStyle w:val="ListParagraph"/>
        <w:numPr>
          <w:ilvl w:val="0"/>
          <w:numId w:val="18"/>
        </w:numPr>
        <w:spacing w:after="0" w:line="240" w:lineRule="auto"/>
        <w:ind w:left="360"/>
        <w:rPr>
          <w:rFonts w:ascii="Georgia" w:eastAsia="Times New Roman" w:hAnsi="Georgia"/>
        </w:rPr>
      </w:pPr>
      <w:r w:rsidRPr="0000701E">
        <w:rPr>
          <w:rFonts w:ascii="Georgia" w:eastAsia="Times New Roman" w:hAnsi="Georgia"/>
        </w:rPr>
        <w:t>Common side effects of analgesic medications will be anticipated, and preventive measures will be implemented.</w:t>
      </w:r>
    </w:p>
    <w:p w14:paraId="29558FA2" w14:textId="77777777" w:rsidR="00151D73" w:rsidRPr="0000701E" w:rsidRDefault="0000701E" w:rsidP="0000701E">
      <w:pPr>
        <w:pStyle w:val="ListParagraph"/>
        <w:numPr>
          <w:ilvl w:val="0"/>
          <w:numId w:val="18"/>
        </w:numPr>
        <w:spacing w:after="0" w:line="240" w:lineRule="auto"/>
        <w:ind w:left="360"/>
        <w:rPr>
          <w:rFonts w:ascii="Georgia" w:eastAsia="Times New Roman" w:hAnsi="Georgia"/>
        </w:rPr>
      </w:pPr>
      <w:r w:rsidRPr="0000701E">
        <w:rPr>
          <w:rFonts w:ascii="Georgia" w:eastAsia="Times New Roman" w:hAnsi="Georgia"/>
        </w:rPr>
        <w:t>Patient and family/caregiver education will focus on the use and side effects of analgesic and/or adjuvant medications, expected responses to therapy, and the importance of administering medications according to prescribed dosage and frequency.</w:t>
      </w:r>
    </w:p>
    <w:sectPr w:rsidR="00151D73" w:rsidRPr="0000701E" w:rsidSect="006C6A82">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2FA6D" w14:textId="77777777" w:rsidR="00F9254F" w:rsidRDefault="00F9254F" w:rsidP="00004886">
      <w:pPr>
        <w:spacing w:after="0" w:line="240" w:lineRule="auto"/>
      </w:pPr>
      <w:r>
        <w:separator/>
      </w:r>
    </w:p>
  </w:endnote>
  <w:endnote w:type="continuationSeparator" w:id="0">
    <w:p w14:paraId="4FCB387C" w14:textId="77777777" w:rsidR="00F9254F" w:rsidRDefault="00F9254F"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520058530"/>
      <w:docPartObj>
        <w:docPartGallery w:val="Page Numbers (Top of Page)"/>
        <w:docPartUnique/>
      </w:docPartObj>
    </w:sdtPr>
    <w:sdtEndPr/>
    <w:sdtContent>
      <w:p w14:paraId="1C982D73" w14:textId="77777777" w:rsidR="006C6A82" w:rsidRPr="006C6A82" w:rsidRDefault="006C6A82" w:rsidP="006C6A82">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624B749" w14:textId="77777777" w:rsidR="003A605C" w:rsidRPr="006C6A82" w:rsidRDefault="003A605C" w:rsidP="006C6A82">
            <w:pPr>
              <w:pStyle w:val="Footer"/>
              <w:jc w:val="right"/>
              <w:rPr>
                <w:rFonts w:ascii="Avenir" w:hAnsi="Avenir"/>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40DD8" w14:textId="77777777" w:rsidR="00F9254F" w:rsidRDefault="00F9254F" w:rsidP="00004886">
      <w:pPr>
        <w:spacing w:after="0" w:line="240" w:lineRule="auto"/>
      </w:pPr>
      <w:r>
        <w:separator/>
      </w:r>
    </w:p>
  </w:footnote>
  <w:footnote w:type="continuationSeparator" w:id="0">
    <w:p w14:paraId="521C6C60" w14:textId="77777777" w:rsidR="00F9254F" w:rsidRDefault="00F9254F"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37A83"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3F9572C4" wp14:editId="6360952E">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C0D4E"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F9572C4"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4A5C0D4E"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0B47E699" wp14:editId="606629BC">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3120"/>
      <w:gridCol w:w="3118"/>
    </w:tblGrid>
    <w:tr w:rsidR="006C6A82" w:rsidRPr="00004886" w14:paraId="236342F5" w14:textId="77777777" w:rsidTr="006C6A82">
      <w:trPr>
        <w:trHeight w:val="432"/>
      </w:trPr>
      <w:tc>
        <w:tcPr>
          <w:tcW w:w="9350" w:type="dxa"/>
          <w:gridSpan w:val="3"/>
          <w:shd w:val="clear" w:color="auto" w:fill="D9D9D9" w:themeFill="background1" w:themeFillShade="D9"/>
          <w:vAlign w:val="center"/>
        </w:tcPr>
        <w:p w14:paraId="75DFBD04" w14:textId="77777777" w:rsidR="006C6A82" w:rsidRPr="0091763A" w:rsidRDefault="006C6A82" w:rsidP="006C6A82">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6C6A82" w:rsidRPr="000B2666" w14:paraId="236E7237" w14:textId="77777777" w:rsidTr="006C6A82">
      <w:trPr>
        <w:trHeight w:val="432"/>
      </w:trPr>
      <w:tc>
        <w:tcPr>
          <w:tcW w:w="9350" w:type="dxa"/>
          <w:gridSpan w:val="3"/>
          <w:vAlign w:val="center"/>
        </w:tcPr>
        <w:p w14:paraId="320C7843" w14:textId="77777777" w:rsidR="006C6A82" w:rsidRPr="000B2666" w:rsidRDefault="006C6A82" w:rsidP="006C6A82">
          <w:pPr>
            <w:spacing w:after="0" w:line="240" w:lineRule="auto"/>
            <w:rPr>
              <w:rFonts w:ascii="Georgia" w:eastAsiaTheme="minorHAnsi" w:hAnsi="Georgia" w:cstheme="minorBidi"/>
            </w:rPr>
          </w:pPr>
          <w:r>
            <w:rPr>
              <w:rFonts w:ascii="Georgia" w:eastAsiaTheme="minorHAnsi" w:hAnsi="Georgia" w:cstheme="minorBidi"/>
            </w:rPr>
            <w:t>Pain Assessment and Management</w:t>
          </w:r>
        </w:p>
      </w:tc>
    </w:tr>
    <w:tr w:rsidR="00017F74" w:rsidRPr="00004886" w14:paraId="7CAE4E3F" w14:textId="77777777" w:rsidTr="006C6A82">
      <w:tc>
        <w:tcPr>
          <w:tcW w:w="3112" w:type="dxa"/>
          <w:shd w:val="clear" w:color="auto" w:fill="D9D9D9" w:themeFill="background1" w:themeFillShade="D9"/>
        </w:tcPr>
        <w:p w14:paraId="5F207395"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14:paraId="7AFEFF8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14:paraId="239DED8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6835F564" w14:textId="77777777" w:rsidTr="006C6A82">
      <w:tc>
        <w:tcPr>
          <w:tcW w:w="3112" w:type="dxa"/>
        </w:tcPr>
        <w:p w14:paraId="45FCD0E8" w14:textId="61554A00" w:rsidR="00017F74" w:rsidRPr="00383057" w:rsidRDefault="00B72F7D" w:rsidP="00D755F0">
          <w:pPr>
            <w:spacing w:after="0" w:line="240" w:lineRule="auto"/>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20" w:type="dxa"/>
          <w:tcMar>
            <w:top w:w="115" w:type="dxa"/>
            <w:left w:w="115" w:type="dxa"/>
            <w:bottom w:w="115" w:type="dxa"/>
            <w:right w:w="115" w:type="dxa"/>
          </w:tcMar>
        </w:tcPr>
        <w:p w14:paraId="0EE71E3D" w14:textId="4101821B" w:rsidR="00017F74" w:rsidRPr="00383057" w:rsidRDefault="00B72F7D" w:rsidP="00D755F0">
          <w:pPr>
            <w:spacing w:after="0" w:line="240" w:lineRule="auto"/>
            <w:rPr>
              <w:rFonts w:ascii="Georgia" w:eastAsiaTheme="minorHAnsi" w:hAnsi="Georgia" w:cstheme="minorBidi"/>
            </w:rPr>
          </w:pPr>
          <w:r>
            <w:rPr>
              <w:rFonts w:ascii="Georgia" w:eastAsiaTheme="minorHAnsi" w:hAnsi="Georgia" w:cstheme="minorBidi"/>
            </w:rPr>
            <w:t>11/17/2023</w:t>
          </w:r>
        </w:p>
      </w:tc>
      <w:tc>
        <w:tcPr>
          <w:tcW w:w="3118" w:type="dxa"/>
        </w:tcPr>
        <w:p w14:paraId="537FC85A" w14:textId="4133B112" w:rsidR="00017F74" w:rsidRPr="00383057" w:rsidRDefault="00B72F7D" w:rsidP="00D755F0">
          <w:pPr>
            <w:spacing w:after="0" w:line="240" w:lineRule="auto"/>
            <w:rPr>
              <w:rFonts w:ascii="Georgia" w:eastAsiaTheme="minorHAnsi" w:hAnsi="Georgia" w:cstheme="minorBidi"/>
            </w:rPr>
          </w:pPr>
          <w:r>
            <w:rPr>
              <w:rFonts w:ascii="Georgia" w:eastAsiaTheme="minorHAnsi" w:hAnsi="Georgia" w:cstheme="minorBidi"/>
            </w:rPr>
            <w:t>11/17/2025</w:t>
          </w:r>
        </w:p>
      </w:tc>
    </w:tr>
    <w:tr w:rsidR="006C6A82" w:rsidRPr="00004886" w14:paraId="0CCD14C8" w14:textId="77777777" w:rsidTr="00DE60AA">
      <w:trPr>
        <w:trHeight w:val="432"/>
      </w:trPr>
      <w:tc>
        <w:tcPr>
          <w:tcW w:w="9350" w:type="dxa"/>
          <w:gridSpan w:val="3"/>
          <w:shd w:val="clear" w:color="auto" w:fill="D9D9D9" w:themeFill="background1" w:themeFillShade="D9"/>
          <w:vAlign w:val="center"/>
        </w:tcPr>
        <w:p w14:paraId="7913EF37" w14:textId="77777777" w:rsidR="006C6A82" w:rsidRPr="0091763A" w:rsidRDefault="006C6A82" w:rsidP="006C6A82">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6C6A82" w:rsidRPr="00004886" w14:paraId="32CE7866" w14:textId="77777777" w:rsidTr="00DE60AA">
      <w:trPr>
        <w:trHeight w:val="576"/>
      </w:trPr>
      <w:tc>
        <w:tcPr>
          <w:tcW w:w="9350" w:type="dxa"/>
          <w:gridSpan w:val="3"/>
          <w:vAlign w:val="center"/>
        </w:tcPr>
        <w:p w14:paraId="32A3039D" w14:textId="77777777" w:rsidR="006C6A82" w:rsidRPr="00383057" w:rsidRDefault="006C6A82" w:rsidP="006C6A82">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7C7DF0FB" w14:textId="77777777" w:rsidTr="006C6A82">
      <w:tc>
        <w:tcPr>
          <w:tcW w:w="9350" w:type="dxa"/>
          <w:gridSpan w:val="3"/>
          <w:shd w:val="clear" w:color="auto" w:fill="D9D9D9" w:themeFill="background1" w:themeFillShade="D9"/>
          <w:tcMar>
            <w:top w:w="115" w:type="dxa"/>
            <w:left w:w="115" w:type="dxa"/>
            <w:bottom w:w="115" w:type="dxa"/>
            <w:right w:w="115" w:type="dxa"/>
          </w:tcMar>
        </w:tcPr>
        <w:p w14:paraId="35EDBD24"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4785303B" w14:textId="77777777" w:rsidTr="006C6A82">
      <w:tc>
        <w:tcPr>
          <w:tcW w:w="9350" w:type="dxa"/>
          <w:gridSpan w:val="3"/>
          <w:shd w:val="clear" w:color="auto" w:fill="auto"/>
          <w:tcMar>
            <w:top w:w="115" w:type="dxa"/>
            <w:left w:w="115" w:type="dxa"/>
            <w:bottom w:w="115" w:type="dxa"/>
            <w:right w:w="115" w:type="dxa"/>
          </w:tcMar>
        </w:tcPr>
        <w:p w14:paraId="0692C466" w14:textId="77777777" w:rsidR="00017F74" w:rsidRPr="00383057" w:rsidRDefault="00017F74" w:rsidP="00D755F0">
          <w:pPr>
            <w:spacing w:after="0" w:line="240" w:lineRule="auto"/>
            <w:rPr>
              <w:rFonts w:ascii="Georgia" w:eastAsiaTheme="minorHAnsi" w:hAnsi="Georgia" w:cstheme="minorBidi"/>
            </w:rPr>
          </w:pPr>
        </w:p>
      </w:tc>
    </w:tr>
  </w:tbl>
  <w:p w14:paraId="5B982398"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38D6D7F"/>
    <w:multiLevelType w:val="hybridMultilevel"/>
    <w:tmpl w:val="BC048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5E6D1D"/>
    <w:multiLevelType w:val="hybridMultilevel"/>
    <w:tmpl w:val="6DF4BB6A"/>
    <w:lvl w:ilvl="0" w:tplc="528AD5AE">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335357"/>
    <w:multiLevelType w:val="hybridMultilevel"/>
    <w:tmpl w:val="E8A6E176"/>
    <w:lvl w:ilvl="0" w:tplc="04090015">
      <w:start w:val="1"/>
      <w:numFmt w:val="upperLetter"/>
      <w:lvlText w:val="%1."/>
      <w:lvlJc w:val="left"/>
      <w:pPr>
        <w:tabs>
          <w:tab w:val="num" w:pos="972"/>
        </w:tabs>
        <w:ind w:left="972" w:hanging="432"/>
      </w:pPr>
      <w:rPr>
        <w:rFonts w:hint="default"/>
      </w:rPr>
    </w:lvl>
    <w:lvl w:ilvl="1" w:tplc="82E06BA4">
      <w:start w:val="1"/>
      <w:numFmt w:val="lowerRoman"/>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931D02"/>
    <w:multiLevelType w:val="hybridMultilevel"/>
    <w:tmpl w:val="FD462850"/>
    <w:lvl w:ilvl="0" w:tplc="F39C66D4">
      <w:start w:val="1"/>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5575D8C"/>
    <w:multiLevelType w:val="hybridMultilevel"/>
    <w:tmpl w:val="5F7A42A0"/>
    <w:lvl w:ilvl="0" w:tplc="7F289E9C">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845B4"/>
    <w:multiLevelType w:val="hybridMultilevel"/>
    <w:tmpl w:val="905A48B6"/>
    <w:lvl w:ilvl="0" w:tplc="F39C66D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4C80D01"/>
    <w:multiLevelType w:val="hybridMultilevel"/>
    <w:tmpl w:val="B590FFD6"/>
    <w:lvl w:ilvl="0" w:tplc="B28AD6AA">
      <w:start w:val="1"/>
      <w:numFmt w:val="decimal"/>
      <w:lvlText w:val="%1."/>
      <w:lvlJc w:val="left"/>
      <w:pPr>
        <w:tabs>
          <w:tab w:val="num" w:pos="720"/>
        </w:tabs>
        <w:ind w:left="720" w:hanging="360"/>
      </w:pPr>
    </w:lvl>
    <w:lvl w:ilvl="1" w:tplc="FA72B444">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7"/>
  </w:num>
  <w:num w:numId="3">
    <w:abstractNumId w:val="9"/>
  </w:num>
  <w:num w:numId="4">
    <w:abstractNumId w:val="13"/>
  </w:num>
  <w:num w:numId="5">
    <w:abstractNumId w:val="16"/>
  </w:num>
  <w:num w:numId="6">
    <w:abstractNumId w:val="0"/>
  </w:num>
  <w:num w:numId="7">
    <w:abstractNumId w:val="7"/>
  </w:num>
  <w:num w:numId="8">
    <w:abstractNumId w:val="15"/>
    <w:lvlOverride w:ilvl="0">
      <w:startOverride w:val="1"/>
    </w:lvlOverride>
  </w:num>
  <w:num w:numId="9">
    <w:abstractNumId w:val="5"/>
  </w:num>
  <w:num w:numId="10">
    <w:abstractNumId w:val="10"/>
  </w:num>
  <w:num w:numId="11">
    <w:abstractNumId w:val="14"/>
  </w:num>
  <w:num w:numId="12">
    <w:abstractNumId w:val="6"/>
  </w:num>
  <w:num w:numId="13">
    <w:abstractNumId w:val="3"/>
  </w:num>
  <w:num w:numId="14">
    <w:abstractNumId w:val="8"/>
  </w:num>
  <w:num w:numId="15">
    <w:abstractNumId w:val="12"/>
  </w:num>
  <w:num w:numId="16">
    <w:abstractNumId w:val="11"/>
  </w:num>
  <w:num w:numId="17">
    <w:abstractNumId w:val="4"/>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0701E"/>
    <w:rsid w:val="00017F74"/>
    <w:rsid w:val="00070BDF"/>
    <w:rsid w:val="00075223"/>
    <w:rsid w:val="000B2666"/>
    <w:rsid w:val="000E0733"/>
    <w:rsid w:val="000E6515"/>
    <w:rsid w:val="001412EB"/>
    <w:rsid w:val="00151D73"/>
    <w:rsid w:val="001D12AA"/>
    <w:rsid w:val="002174C0"/>
    <w:rsid w:val="00282429"/>
    <w:rsid w:val="003417D3"/>
    <w:rsid w:val="00366B62"/>
    <w:rsid w:val="00383057"/>
    <w:rsid w:val="003A605C"/>
    <w:rsid w:val="004039FB"/>
    <w:rsid w:val="00496194"/>
    <w:rsid w:val="004B00A2"/>
    <w:rsid w:val="004D66B8"/>
    <w:rsid w:val="004F7E1E"/>
    <w:rsid w:val="00544B69"/>
    <w:rsid w:val="00546D27"/>
    <w:rsid w:val="00551083"/>
    <w:rsid w:val="005F4D1B"/>
    <w:rsid w:val="006318B2"/>
    <w:rsid w:val="00636251"/>
    <w:rsid w:val="0064513A"/>
    <w:rsid w:val="006772EC"/>
    <w:rsid w:val="006C0ECD"/>
    <w:rsid w:val="006C6A82"/>
    <w:rsid w:val="00721119"/>
    <w:rsid w:val="007449A1"/>
    <w:rsid w:val="00744C01"/>
    <w:rsid w:val="007C4A04"/>
    <w:rsid w:val="007D240F"/>
    <w:rsid w:val="00806F6F"/>
    <w:rsid w:val="00857EA6"/>
    <w:rsid w:val="008F49D4"/>
    <w:rsid w:val="00914055"/>
    <w:rsid w:val="0091763A"/>
    <w:rsid w:val="00917BA9"/>
    <w:rsid w:val="009342A6"/>
    <w:rsid w:val="009A56BD"/>
    <w:rsid w:val="009F3EE2"/>
    <w:rsid w:val="00A64D00"/>
    <w:rsid w:val="00AA7F0B"/>
    <w:rsid w:val="00AC317F"/>
    <w:rsid w:val="00AF7CAE"/>
    <w:rsid w:val="00B23E02"/>
    <w:rsid w:val="00B72F7D"/>
    <w:rsid w:val="00BA51C0"/>
    <w:rsid w:val="00BE2960"/>
    <w:rsid w:val="00C070D2"/>
    <w:rsid w:val="00C1303A"/>
    <w:rsid w:val="00C70850"/>
    <w:rsid w:val="00C97FA1"/>
    <w:rsid w:val="00CE6DA2"/>
    <w:rsid w:val="00D656C1"/>
    <w:rsid w:val="00D927EC"/>
    <w:rsid w:val="00DD17C5"/>
    <w:rsid w:val="00DD4B6F"/>
    <w:rsid w:val="00DE38FB"/>
    <w:rsid w:val="00E547EA"/>
    <w:rsid w:val="00E810E1"/>
    <w:rsid w:val="00F107CD"/>
    <w:rsid w:val="00F13040"/>
    <w:rsid w:val="00F53848"/>
    <w:rsid w:val="00F53FEA"/>
    <w:rsid w:val="00F9254F"/>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9FB88"/>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BE29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character" w:styleId="Hyperlink">
    <w:name w:val="Hyperlink"/>
    <w:semiHidden/>
    <w:rsid w:val="007C4A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3D7DEA-94AF-4D83-BECD-EADB641C0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2023-11-21T15:31:00Z</dcterms:created>
  <dcterms:modified xsi:type="dcterms:W3CDTF">2023-11-21T15:35:00Z</dcterms:modified>
</cp:coreProperties>
</file>