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C4367" w14:textId="77777777" w:rsidR="003D1663" w:rsidRPr="001C3564" w:rsidRDefault="003D1663" w:rsidP="003D1663">
      <w:pPr>
        <w:pStyle w:val="Heading3"/>
        <w:rPr>
          <w:rFonts w:ascii="Avenir" w:hAnsi="Avenir"/>
          <w:sz w:val="24"/>
          <w:szCs w:val="24"/>
        </w:rPr>
      </w:pPr>
      <w:r w:rsidRPr="001C3564">
        <w:rPr>
          <w:rFonts w:ascii="Avenir" w:hAnsi="Avenir"/>
        </w:rPr>
        <w:t>PURPOSE</w:t>
      </w:r>
    </w:p>
    <w:p w14:paraId="0A82BCCF" w14:textId="77777777" w:rsidR="003D1663" w:rsidRPr="00983F41" w:rsidRDefault="003D1663" w:rsidP="003D1663">
      <w:pPr>
        <w:spacing w:after="0" w:line="240" w:lineRule="auto"/>
        <w:rPr>
          <w:rFonts w:ascii="Georgia" w:hAnsi="Georgia"/>
        </w:rPr>
      </w:pPr>
    </w:p>
    <w:p w14:paraId="54920460" w14:textId="77777777" w:rsidR="003D1663" w:rsidRPr="00983F41" w:rsidRDefault="003D1663" w:rsidP="003D1663">
      <w:pPr>
        <w:spacing w:after="0" w:line="240" w:lineRule="auto"/>
        <w:rPr>
          <w:rFonts w:ascii="Georgia" w:hAnsi="Georgia"/>
          <w:b/>
          <w:bCs/>
        </w:rPr>
      </w:pPr>
      <w:r w:rsidRPr="00983F41">
        <w:rPr>
          <w:rFonts w:ascii="Georgia" w:hAnsi="Georgia"/>
        </w:rPr>
        <w:t>To establish the conditions for administration of intravenous medications/solutions in the home.</w:t>
      </w:r>
    </w:p>
    <w:p w14:paraId="00BEB30A" w14:textId="77777777" w:rsidR="003D1663" w:rsidRPr="00983F41" w:rsidRDefault="003D1663" w:rsidP="003D1663">
      <w:pPr>
        <w:spacing w:after="0" w:line="240" w:lineRule="auto"/>
        <w:rPr>
          <w:rFonts w:ascii="Georgia" w:hAnsi="Georgia"/>
        </w:rPr>
      </w:pPr>
    </w:p>
    <w:p w14:paraId="2EE74A25" w14:textId="77777777" w:rsidR="003D1663" w:rsidRPr="001C3564" w:rsidRDefault="003D1663" w:rsidP="003D1663">
      <w:pPr>
        <w:pStyle w:val="Heading3"/>
        <w:rPr>
          <w:rFonts w:ascii="Avenir" w:hAnsi="Avenir"/>
        </w:rPr>
      </w:pPr>
      <w:r w:rsidRPr="001C3564">
        <w:rPr>
          <w:rFonts w:ascii="Avenir" w:hAnsi="Avenir"/>
        </w:rPr>
        <w:t>POLICY</w:t>
      </w:r>
    </w:p>
    <w:p w14:paraId="7A143A2A" w14:textId="77777777" w:rsidR="003D1663" w:rsidRPr="00983F41" w:rsidRDefault="003D1663" w:rsidP="003D1663">
      <w:pPr>
        <w:spacing w:after="0" w:line="240" w:lineRule="auto"/>
        <w:rPr>
          <w:rFonts w:ascii="Georgia" w:hAnsi="Georgia"/>
        </w:rPr>
      </w:pPr>
    </w:p>
    <w:p w14:paraId="750868F5" w14:textId="77777777" w:rsidR="003D1663" w:rsidRPr="00983F41" w:rsidRDefault="003D1663" w:rsidP="003D1663">
      <w:pPr>
        <w:spacing w:after="0" w:line="240" w:lineRule="auto"/>
        <w:rPr>
          <w:rFonts w:ascii="Georgia" w:hAnsi="Georgia"/>
        </w:rPr>
      </w:pPr>
      <w:r w:rsidRPr="00983F41">
        <w:rPr>
          <w:rFonts w:ascii="Georgia" w:hAnsi="Georgia"/>
        </w:rPr>
        <w:t>Registered nurses may establish peripheral intravenous (IV) lines and administer organization-approved IV medications and solutions under the orders of a physician</w:t>
      </w:r>
    </w:p>
    <w:p w14:paraId="5EAF85CC" w14:textId="77777777" w:rsidR="003D1663" w:rsidRDefault="003D1663" w:rsidP="003D1663">
      <w:pPr>
        <w:pStyle w:val="Heading3"/>
        <w:rPr>
          <w:rFonts w:ascii="Avenir" w:hAnsi="Avenir"/>
        </w:rPr>
      </w:pPr>
    </w:p>
    <w:p w14:paraId="0EACDAA0" w14:textId="77777777" w:rsidR="003D1663" w:rsidRPr="001C3564" w:rsidRDefault="003D1663" w:rsidP="003D1663">
      <w:pPr>
        <w:pStyle w:val="Heading3"/>
        <w:rPr>
          <w:rFonts w:ascii="Avenir" w:hAnsi="Avenir"/>
        </w:rPr>
      </w:pPr>
      <w:r w:rsidRPr="001C3564">
        <w:rPr>
          <w:rFonts w:ascii="Avenir" w:hAnsi="Avenir"/>
        </w:rPr>
        <w:t>PROCEDURE</w:t>
      </w:r>
    </w:p>
    <w:p w14:paraId="184BD4BD" w14:textId="77777777" w:rsidR="003D1663" w:rsidRPr="00983F41" w:rsidRDefault="003D1663" w:rsidP="003D1663">
      <w:pPr>
        <w:spacing w:after="0" w:line="240" w:lineRule="auto"/>
        <w:rPr>
          <w:rFonts w:ascii="Georgia" w:hAnsi="Georgia"/>
        </w:rPr>
      </w:pPr>
    </w:p>
    <w:p w14:paraId="302D1B5F" w14:textId="77777777" w:rsidR="003D1663" w:rsidRPr="00983F41" w:rsidRDefault="003D1663" w:rsidP="003D1663">
      <w:pPr>
        <w:pStyle w:val="BodyTextIndent"/>
        <w:numPr>
          <w:ilvl w:val="0"/>
          <w:numId w:val="12"/>
        </w:numPr>
        <w:tabs>
          <w:tab w:val="clear" w:pos="795"/>
        </w:tabs>
        <w:ind w:left="432" w:hanging="432"/>
        <w:rPr>
          <w:rFonts w:ascii="Georgia" w:hAnsi="Georgia"/>
        </w:rPr>
      </w:pPr>
      <w:r w:rsidRPr="00983F41">
        <w:rPr>
          <w:rFonts w:ascii="Georgia" w:hAnsi="Georgia"/>
        </w:rPr>
        <w:t>A physician order will be obtained for approved IV medications and solutions.</w:t>
      </w:r>
    </w:p>
    <w:p w14:paraId="3C0D7C35" w14:textId="5F9C4BBE" w:rsidR="003D1663" w:rsidRPr="00983F41" w:rsidRDefault="003D1663" w:rsidP="003D1663">
      <w:pPr>
        <w:pStyle w:val="BodyTextIndent"/>
        <w:numPr>
          <w:ilvl w:val="0"/>
          <w:numId w:val="12"/>
        </w:numPr>
        <w:tabs>
          <w:tab w:val="clear" w:pos="795"/>
        </w:tabs>
        <w:ind w:left="432" w:hanging="432"/>
        <w:rPr>
          <w:rFonts w:ascii="Georgia" w:hAnsi="Georgia"/>
        </w:rPr>
      </w:pPr>
      <w:r w:rsidRPr="00983F41">
        <w:rPr>
          <w:rFonts w:ascii="Georgia" w:hAnsi="Georgia"/>
        </w:rPr>
        <w:t xml:space="preserve">All orders for IV medications and solutions will specify medication name and dosage, diluent type and amount, route, frequency of administration, </w:t>
      </w:r>
      <w:r w:rsidR="00BF3D68">
        <w:rPr>
          <w:rFonts w:ascii="Georgia" w:hAnsi="Georgia"/>
        </w:rPr>
        <w:t xml:space="preserve">who will be administering the medication, </w:t>
      </w:r>
      <w:r w:rsidRPr="00983F41">
        <w:rPr>
          <w:rFonts w:ascii="Georgia" w:hAnsi="Georgia"/>
        </w:rPr>
        <w:t>and rate of infusion.</w:t>
      </w:r>
    </w:p>
    <w:p w14:paraId="354BF90F" w14:textId="10DFADE3" w:rsidR="003D1663" w:rsidRPr="005A6985" w:rsidRDefault="003D1663" w:rsidP="005A6985">
      <w:pPr>
        <w:pStyle w:val="BodyTextIndent"/>
        <w:numPr>
          <w:ilvl w:val="0"/>
          <w:numId w:val="12"/>
        </w:numPr>
        <w:tabs>
          <w:tab w:val="clear" w:pos="795"/>
        </w:tabs>
        <w:ind w:left="432" w:hanging="432"/>
        <w:rPr>
          <w:rFonts w:ascii="Georgia" w:hAnsi="Georgia"/>
        </w:rPr>
      </w:pPr>
      <w:r w:rsidRPr="00983F41">
        <w:rPr>
          <w:rFonts w:ascii="Georgia" w:hAnsi="Georgia"/>
        </w:rPr>
        <w:t xml:space="preserve">The patient receiving IV medications should have received his/her first dose of prescribed medicine in a hospital setting, in a physician's office, or under the supervision of a physician or his/her representative prior to admission to </w:t>
      </w:r>
      <w:r>
        <w:rPr>
          <w:rFonts w:ascii="Georgia" w:hAnsi="Georgia"/>
        </w:rPr>
        <w:t>Ohio Living Home Health</w:t>
      </w:r>
      <w:r w:rsidRPr="00983F41">
        <w:rPr>
          <w:rFonts w:ascii="Georgia" w:hAnsi="Georgia"/>
        </w:rPr>
        <w:t>, without evidence of allergic reaction, unless prior approval is obtained by consultation with the Clinical</w:t>
      </w:r>
      <w:r>
        <w:rPr>
          <w:rFonts w:ascii="Georgia" w:hAnsi="Georgia"/>
        </w:rPr>
        <w:t xml:space="preserve"> Supervisor and patient’s physician</w:t>
      </w:r>
      <w:r w:rsidRPr="00983F41">
        <w:rPr>
          <w:rFonts w:ascii="Georgia" w:hAnsi="Georgia"/>
        </w:rPr>
        <w:t>.</w:t>
      </w:r>
      <w:r w:rsidR="005A6985">
        <w:rPr>
          <w:rFonts w:ascii="Georgia" w:hAnsi="Georgia"/>
        </w:rPr>
        <w:t xml:space="preserve"> </w:t>
      </w:r>
      <w:r w:rsidRPr="005A6985">
        <w:rPr>
          <w:rFonts w:ascii="Georgia" w:hAnsi="Georgia"/>
        </w:rPr>
        <w:t>When it has been determined that the first dosages of medication and solutions can be given in the home without prior administration, the nurse will remain in the home for at least 30 minutes after discontinuing the IV infusion.</w:t>
      </w:r>
    </w:p>
    <w:p w14:paraId="64D97223" w14:textId="77777777" w:rsidR="003D1663" w:rsidRPr="00983F41" w:rsidRDefault="003D1663" w:rsidP="003D1663">
      <w:pPr>
        <w:pStyle w:val="BodyTextIndent"/>
        <w:numPr>
          <w:ilvl w:val="0"/>
          <w:numId w:val="12"/>
        </w:numPr>
        <w:tabs>
          <w:tab w:val="clear" w:pos="795"/>
        </w:tabs>
        <w:ind w:left="432" w:hanging="432"/>
        <w:rPr>
          <w:rFonts w:ascii="Georgia" w:hAnsi="Georgia"/>
        </w:rPr>
      </w:pPr>
      <w:r w:rsidRPr="00983F41">
        <w:rPr>
          <w:rFonts w:ascii="Georgia" w:hAnsi="Georgia"/>
        </w:rPr>
        <w:t>IV medications and solutions will only be administered through a peripheral or central venous line.</w:t>
      </w:r>
    </w:p>
    <w:p w14:paraId="6A0BE682" w14:textId="61A27BAE" w:rsidR="003D1663" w:rsidRDefault="003D1663" w:rsidP="003D1663">
      <w:pPr>
        <w:pStyle w:val="BodyTextIndent"/>
        <w:numPr>
          <w:ilvl w:val="0"/>
          <w:numId w:val="12"/>
        </w:numPr>
        <w:tabs>
          <w:tab w:val="clear" w:pos="795"/>
        </w:tabs>
        <w:ind w:left="432" w:hanging="432"/>
        <w:rPr>
          <w:rFonts w:ascii="Georgia" w:hAnsi="Georgia"/>
        </w:rPr>
      </w:pPr>
      <w:r w:rsidRPr="00983F41">
        <w:rPr>
          <w:rFonts w:ascii="Georgia" w:hAnsi="Georgia"/>
        </w:rPr>
        <w:t>Laboratory work, as indicated for each medication or solution, will be ordered by the physician or other authorized independent practitioner.</w:t>
      </w:r>
    </w:p>
    <w:p w14:paraId="060AF61B" w14:textId="1953C962" w:rsidR="00BF3D68" w:rsidRPr="00983F41" w:rsidRDefault="00BF3D68" w:rsidP="003D1663">
      <w:pPr>
        <w:pStyle w:val="BodyTextIndent"/>
        <w:numPr>
          <w:ilvl w:val="0"/>
          <w:numId w:val="12"/>
        </w:numPr>
        <w:tabs>
          <w:tab w:val="clear" w:pos="795"/>
        </w:tabs>
        <w:ind w:left="432" w:hanging="432"/>
        <w:rPr>
          <w:rFonts w:ascii="Georgia" w:hAnsi="Georgia"/>
        </w:rPr>
      </w:pPr>
      <w:r>
        <w:rPr>
          <w:rFonts w:ascii="Georgia" w:hAnsi="Georgia"/>
        </w:rPr>
        <w:t>Maintenance of the line will be determined and ordered by the physician or other authorized independent practitioner.</w:t>
      </w:r>
    </w:p>
    <w:p w14:paraId="65970289" w14:textId="77777777" w:rsidR="003D1663" w:rsidRPr="00983F41" w:rsidRDefault="003D1663" w:rsidP="003D1663">
      <w:pPr>
        <w:spacing w:after="0" w:line="240" w:lineRule="auto"/>
        <w:rPr>
          <w:rFonts w:ascii="Georgia" w:hAnsi="Georgia"/>
        </w:rPr>
      </w:pPr>
    </w:p>
    <w:p w14:paraId="6D491E87" w14:textId="77777777" w:rsidR="003D1663" w:rsidRDefault="003D1663" w:rsidP="003D1663">
      <w:pPr>
        <w:pStyle w:val="BodyTextIndent"/>
        <w:numPr>
          <w:ilvl w:val="0"/>
          <w:numId w:val="12"/>
        </w:numPr>
        <w:tabs>
          <w:tab w:val="clear" w:pos="795"/>
        </w:tabs>
        <w:ind w:left="432" w:hanging="432"/>
        <w:rPr>
          <w:rFonts w:ascii="Georgia" w:hAnsi="Georgia"/>
        </w:rPr>
      </w:pPr>
      <w:r w:rsidRPr="00121484">
        <w:rPr>
          <w:rFonts w:ascii="Georgia" w:hAnsi="Georgia"/>
        </w:rPr>
        <w:lastRenderedPageBreak/>
        <w:t>Only drugs that are approved by the Food and Drug Administration (non</w:t>
      </w:r>
      <w:r>
        <w:rPr>
          <w:rFonts w:ascii="Georgia" w:hAnsi="Georgia"/>
        </w:rPr>
        <w:t>-</w:t>
      </w:r>
      <w:r w:rsidRPr="00121484">
        <w:rPr>
          <w:rFonts w:ascii="Georgia" w:hAnsi="Georgia"/>
        </w:rPr>
        <w:t>investigational) will be administered unless prior approval is obtained by consultation with the Clinical Supervisor and the patient’s physician.</w:t>
      </w:r>
    </w:p>
    <w:p w14:paraId="0FBB882C" w14:textId="77777777" w:rsidR="003D1663" w:rsidRPr="00983F41" w:rsidRDefault="003D1663" w:rsidP="003D1663">
      <w:pPr>
        <w:pStyle w:val="BodyTextIndent"/>
        <w:numPr>
          <w:ilvl w:val="0"/>
          <w:numId w:val="12"/>
        </w:numPr>
        <w:tabs>
          <w:tab w:val="clear" w:pos="795"/>
        </w:tabs>
        <w:ind w:left="432" w:hanging="432"/>
        <w:rPr>
          <w:rFonts w:ascii="Georgia" w:hAnsi="Georgia"/>
        </w:rPr>
      </w:pPr>
      <w:r w:rsidRPr="00983F41">
        <w:rPr>
          <w:rFonts w:ascii="Georgia" w:hAnsi="Georgia"/>
        </w:rPr>
        <w:t>Only medications and solutions that are prepared by a pharmacy and are properly labeled with patient’s name, name of drug, dosage, dilution, date of preparation, expiration date, initials of preparer, and any special instructions will be administered.</w:t>
      </w:r>
    </w:p>
    <w:p w14:paraId="1566D657" w14:textId="77777777" w:rsidR="003D1663" w:rsidRPr="00983F41" w:rsidRDefault="003D1663" w:rsidP="003D1663">
      <w:pPr>
        <w:pStyle w:val="BodyTextIndent"/>
        <w:numPr>
          <w:ilvl w:val="0"/>
          <w:numId w:val="12"/>
        </w:numPr>
        <w:tabs>
          <w:tab w:val="clear" w:pos="795"/>
        </w:tabs>
        <w:ind w:left="432" w:hanging="432"/>
        <w:rPr>
          <w:rFonts w:ascii="Georgia" w:hAnsi="Georgia"/>
        </w:rPr>
      </w:pPr>
      <w:r w:rsidRPr="00983F41">
        <w:rPr>
          <w:rFonts w:ascii="Georgia" w:hAnsi="Georgia"/>
        </w:rPr>
        <w:t xml:space="preserve">Patient-specific anaphylaxis kits will be supplied by the home infusion company in the following instances: </w:t>
      </w:r>
    </w:p>
    <w:p w14:paraId="2D3B97E0" w14:textId="77777777" w:rsidR="003D1663" w:rsidRPr="00983F41" w:rsidRDefault="003D1663" w:rsidP="003D1663">
      <w:pPr>
        <w:pStyle w:val="BodyTextIndent2"/>
        <w:numPr>
          <w:ilvl w:val="1"/>
          <w:numId w:val="12"/>
        </w:numPr>
        <w:tabs>
          <w:tab w:val="clear" w:pos="1515"/>
        </w:tabs>
        <w:ind w:left="864" w:hanging="432"/>
        <w:rPr>
          <w:rFonts w:ascii="Georgia" w:hAnsi="Georgia"/>
        </w:rPr>
      </w:pPr>
      <w:r w:rsidRPr="00983F41">
        <w:rPr>
          <w:rFonts w:ascii="Georgia" w:hAnsi="Georgia"/>
        </w:rPr>
        <w:t>Patient is receiving an approved first-time dose of medication in the home.</w:t>
      </w:r>
    </w:p>
    <w:p w14:paraId="623E301C" w14:textId="77777777" w:rsidR="003D1663" w:rsidRPr="00983F41" w:rsidRDefault="003D1663" w:rsidP="003D1663">
      <w:pPr>
        <w:pStyle w:val="BodyTextIndent2"/>
        <w:numPr>
          <w:ilvl w:val="1"/>
          <w:numId w:val="12"/>
        </w:numPr>
        <w:tabs>
          <w:tab w:val="clear" w:pos="1515"/>
        </w:tabs>
        <w:ind w:left="864" w:hanging="432"/>
        <w:rPr>
          <w:rFonts w:ascii="Georgia" w:hAnsi="Georgia"/>
        </w:rPr>
      </w:pPr>
      <w:r w:rsidRPr="00983F41">
        <w:rPr>
          <w:rFonts w:ascii="Georgia" w:hAnsi="Georgia"/>
        </w:rPr>
        <w:t>Patient has numerous medication allergies.</w:t>
      </w:r>
    </w:p>
    <w:p w14:paraId="06C883CF" w14:textId="77777777" w:rsidR="003D1663" w:rsidRPr="00983F41" w:rsidRDefault="003D1663" w:rsidP="003D1663">
      <w:pPr>
        <w:pStyle w:val="BodyTextIndent2"/>
        <w:numPr>
          <w:ilvl w:val="1"/>
          <w:numId w:val="12"/>
        </w:numPr>
        <w:tabs>
          <w:tab w:val="clear" w:pos="1515"/>
        </w:tabs>
        <w:ind w:left="864" w:hanging="432"/>
        <w:rPr>
          <w:rFonts w:ascii="Georgia" w:hAnsi="Georgia"/>
        </w:rPr>
      </w:pPr>
      <w:r w:rsidRPr="00983F41">
        <w:rPr>
          <w:rFonts w:ascii="Georgia" w:hAnsi="Georgia"/>
        </w:rPr>
        <w:t>At physician's (or other authorized independent practitioner’s) request/order.</w:t>
      </w:r>
    </w:p>
    <w:p w14:paraId="0EA426DD" w14:textId="77777777" w:rsidR="003D1663" w:rsidRPr="00983F41" w:rsidRDefault="003D1663" w:rsidP="003D1663">
      <w:pPr>
        <w:pStyle w:val="BodyTextIndent"/>
        <w:numPr>
          <w:ilvl w:val="0"/>
          <w:numId w:val="12"/>
        </w:numPr>
        <w:tabs>
          <w:tab w:val="clear" w:pos="795"/>
        </w:tabs>
        <w:ind w:left="432" w:hanging="432"/>
        <w:rPr>
          <w:rFonts w:ascii="Georgia" w:hAnsi="Georgia"/>
        </w:rPr>
      </w:pPr>
      <w:r w:rsidRPr="00983F41">
        <w:rPr>
          <w:rFonts w:ascii="Georgia" w:hAnsi="Georgia"/>
        </w:rPr>
        <w:t>A physician must be notified if any of the following circumstances occur:</w:t>
      </w:r>
    </w:p>
    <w:p w14:paraId="4F1E4086" w14:textId="77777777" w:rsidR="003D1663" w:rsidRPr="00983F41" w:rsidRDefault="003D1663" w:rsidP="003D1663">
      <w:pPr>
        <w:pStyle w:val="BodyTextIndent2"/>
        <w:numPr>
          <w:ilvl w:val="1"/>
          <w:numId w:val="12"/>
        </w:numPr>
        <w:tabs>
          <w:tab w:val="clear" w:pos="1515"/>
        </w:tabs>
        <w:ind w:left="864" w:hanging="432"/>
        <w:rPr>
          <w:rFonts w:ascii="Georgia" w:hAnsi="Georgia"/>
        </w:rPr>
      </w:pPr>
      <w:r w:rsidRPr="00983F41">
        <w:rPr>
          <w:rFonts w:ascii="Georgia" w:hAnsi="Georgia"/>
        </w:rPr>
        <w:t>If clinical findings are abnormal</w:t>
      </w:r>
    </w:p>
    <w:p w14:paraId="569E260D" w14:textId="77777777" w:rsidR="003D1663" w:rsidRPr="00983F41" w:rsidRDefault="003D1663" w:rsidP="003D1663">
      <w:pPr>
        <w:pStyle w:val="BodyTextIndent2"/>
        <w:numPr>
          <w:ilvl w:val="1"/>
          <w:numId w:val="12"/>
        </w:numPr>
        <w:tabs>
          <w:tab w:val="clear" w:pos="1515"/>
        </w:tabs>
        <w:ind w:left="864" w:hanging="432"/>
        <w:rPr>
          <w:rFonts w:ascii="Georgia" w:hAnsi="Georgia"/>
        </w:rPr>
      </w:pPr>
      <w:r w:rsidRPr="00983F41">
        <w:rPr>
          <w:rFonts w:ascii="Georgia" w:hAnsi="Georgia"/>
        </w:rPr>
        <w:t>If laboratory findings are abnormal</w:t>
      </w:r>
    </w:p>
    <w:p w14:paraId="0C26A49B" w14:textId="77777777" w:rsidR="003D1663" w:rsidRPr="00983F41" w:rsidRDefault="003D1663" w:rsidP="003D1663">
      <w:pPr>
        <w:pStyle w:val="BodyTextIndent2"/>
        <w:numPr>
          <w:ilvl w:val="1"/>
          <w:numId w:val="12"/>
        </w:numPr>
        <w:tabs>
          <w:tab w:val="clear" w:pos="1515"/>
        </w:tabs>
        <w:ind w:left="864" w:hanging="432"/>
        <w:rPr>
          <w:rFonts w:ascii="Georgia" w:hAnsi="Georgia"/>
        </w:rPr>
      </w:pPr>
      <w:r w:rsidRPr="00983F41">
        <w:rPr>
          <w:rFonts w:ascii="Georgia" w:hAnsi="Georgia"/>
        </w:rPr>
        <w:t>If any allergic or toxic symptoms are exhibited by the patient</w:t>
      </w:r>
    </w:p>
    <w:p w14:paraId="418586A8" w14:textId="77777777" w:rsidR="003D1663" w:rsidRPr="00983F41" w:rsidRDefault="003D1663" w:rsidP="003D1663">
      <w:pPr>
        <w:pStyle w:val="BodyTextIndent2"/>
        <w:numPr>
          <w:ilvl w:val="1"/>
          <w:numId w:val="12"/>
        </w:numPr>
        <w:tabs>
          <w:tab w:val="clear" w:pos="1515"/>
        </w:tabs>
        <w:ind w:left="864" w:hanging="432"/>
        <w:rPr>
          <w:rFonts w:ascii="Georgia" w:hAnsi="Georgia"/>
        </w:rPr>
      </w:pPr>
      <w:r w:rsidRPr="00983F41">
        <w:rPr>
          <w:rFonts w:ascii="Georgia" w:hAnsi="Georgia"/>
        </w:rPr>
        <w:t>If drug regimen review shows an alternative pharmacotherapeutic plan that could achieve safer, more effective, and more economical patient care</w:t>
      </w:r>
    </w:p>
    <w:p w14:paraId="3A8BA549" w14:textId="77777777" w:rsidR="003D1663" w:rsidRPr="00983F41" w:rsidRDefault="003D1663" w:rsidP="003D1663">
      <w:pPr>
        <w:pStyle w:val="BodyTextIndent2"/>
        <w:numPr>
          <w:ilvl w:val="1"/>
          <w:numId w:val="12"/>
        </w:numPr>
        <w:tabs>
          <w:tab w:val="clear" w:pos="1515"/>
        </w:tabs>
        <w:ind w:left="864" w:hanging="432"/>
        <w:rPr>
          <w:rFonts w:ascii="Georgia" w:hAnsi="Georgia"/>
        </w:rPr>
      </w:pPr>
      <w:r w:rsidRPr="00983F41">
        <w:rPr>
          <w:rFonts w:ascii="Georgia" w:hAnsi="Georgia"/>
        </w:rPr>
        <w:t>If anaphylaxis occurs and/or different medication is required to treat</w:t>
      </w:r>
    </w:p>
    <w:p w14:paraId="1A50BB96" w14:textId="77777777" w:rsidR="003D1663" w:rsidRDefault="003D1663" w:rsidP="003D1663">
      <w:pPr>
        <w:pStyle w:val="BodyTextIndent2"/>
        <w:numPr>
          <w:ilvl w:val="1"/>
          <w:numId w:val="12"/>
        </w:numPr>
        <w:tabs>
          <w:tab w:val="clear" w:pos="1515"/>
        </w:tabs>
        <w:ind w:left="864" w:hanging="432"/>
        <w:rPr>
          <w:rFonts w:ascii="Georgia" w:hAnsi="Georgia"/>
        </w:rPr>
      </w:pPr>
      <w:r w:rsidRPr="00983F41">
        <w:rPr>
          <w:rFonts w:ascii="Georgia" w:hAnsi="Georgia"/>
        </w:rPr>
        <w:t>When proper placement of a central venous catheter is questioned</w:t>
      </w:r>
    </w:p>
    <w:p w14:paraId="263929B5" w14:textId="77777777" w:rsidR="007D240F" w:rsidRPr="003D1663" w:rsidRDefault="003D1663" w:rsidP="003D1663">
      <w:pPr>
        <w:pStyle w:val="BodyTextIndent2"/>
        <w:numPr>
          <w:ilvl w:val="1"/>
          <w:numId w:val="12"/>
        </w:numPr>
        <w:tabs>
          <w:tab w:val="clear" w:pos="1515"/>
        </w:tabs>
        <w:ind w:left="864" w:hanging="432"/>
        <w:rPr>
          <w:rFonts w:ascii="Georgia" w:hAnsi="Georgia"/>
        </w:rPr>
      </w:pPr>
      <w:r w:rsidRPr="003D1663">
        <w:rPr>
          <w:rFonts w:ascii="Georgia" w:hAnsi="Georgia"/>
        </w:rPr>
        <w:t>If repeated difficulty occurs in establishing a peripheral line</w:t>
      </w:r>
    </w:p>
    <w:sectPr w:rsidR="007D240F" w:rsidRPr="003D1663" w:rsidSect="005A698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0BE95" w14:textId="77777777" w:rsidR="0094710B" w:rsidRDefault="0094710B" w:rsidP="00004886">
      <w:pPr>
        <w:spacing w:after="0" w:line="240" w:lineRule="auto"/>
      </w:pPr>
      <w:r>
        <w:separator/>
      </w:r>
    </w:p>
  </w:endnote>
  <w:endnote w:type="continuationSeparator" w:id="0">
    <w:p w14:paraId="2F99C20C" w14:textId="77777777" w:rsidR="0094710B" w:rsidRDefault="0094710B"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062630912"/>
      <w:docPartObj>
        <w:docPartGallery w:val="Page Numbers (Bottom of Page)"/>
        <w:docPartUnique/>
      </w:docPartObj>
    </w:sdtPr>
    <w:sdtContent>
      <w:sdt>
        <w:sdtPr>
          <w:rPr>
            <w:rFonts w:ascii="Avenir" w:hAnsi="Avenir"/>
          </w:rPr>
          <w:id w:val="702754439"/>
          <w:docPartObj>
            <w:docPartGallery w:val="Page Numbers (Top of Page)"/>
            <w:docPartUnique/>
          </w:docPartObj>
        </w:sdtPr>
        <w:sdtContent>
          <w:p w14:paraId="10CA7BF6" w14:textId="0377B928" w:rsidR="005A6985" w:rsidRPr="005A6985" w:rsidRDefault="005A6985" w:rsidP="005A6985">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33B4183C" w14:textId="29BD289A" w:rsidR="004F6C2F" w:rsidRPr="005A6985" w:rsidRDefault="004F6C2F" w:rsidP="005A6985">
            <w:pPr>
              <w:pStyle w:val="Footer"/>
              <w:jc w:val="right"/>
              <w:rPr>
                <w:rFonts w:ascii="Avenir" w:hAnsi="Avenir"/>
              </w:rPr>
            </w:pPr>
            <w:r w:rsidRPr="0091763A">
              <w:rPr>
                <w:rFonts w:ascii="Avenir" w:hAnsi="Avenir"/>
              </w:rPr>
              <w:t xml:space="preserve">Page </w:t>
            </w:r>
            <w:r w:rsidR="00A93E48" w:rsidRPr="0091763A">
              <w:rPr>
                <w:rFonts w:ascii="Avenir" w:hAnsi="Avenir"/>
                <w:b/>
                <w:sz w:val="24"/>
                <w:szCs w:val="24"/>
              </w:rPr>
              <w:fldChar w:fldCharType="begin"/>
            </w:r>
            <w:r w:rsidRPr="0091763A">
              <w:rPr>
                <w:rFonts w:ascii="Avenir" w:hAnsi="Avenir"/>
                <w:b/>
              </w:rPr>
              <w:instrText xml:space="preserve"> PAGE </w:instrText>
            </w:r>
            <w:r w:rsidR="00A93E48" w:rsidRPr="0091763A">
              <w:rPr>
                <w:rFonts w:ascii="Avenir" w:hAnsi="Avenir"/>
                <w:b/>
                <w:sz w:val="24"/>
                <w:szCs w:val="24"/>
              </w:rPr>
              <w:fldChar w:fldCharType="separate"/>
            </w:r>
            <w:r w:rsidR="00EA3E39">
              <w:rPr>
                <w:rFonts w:ascii="Avenir" w:hAnsi="Avenir"/>
                <w:b/>
                <w:noProof/>
              </w:rPr>
              <w:t>1</w:t>
            </w:r>
            <w:r w:rsidR="00A93E48" w:rsidRPr="0091763A">
              <w:rPr>
                <w:rFonts w:ascii="Avenir" w:hAnsi="Avenir"/>
                <w:b/>
                <w:sz w:val="24"/>
                <w:szCs w:val="24"/>
              </w:rPr>
              <w:fldChar w:fldCharType="end"/>
            </w:r>
            <w:r w:rsidRPr="0091763A">
              <w:rPr>
                <w:rFonts w:ascii="Avenir" w:hAnsi="Avenir"/>
              </w:rPr>
              <w:t xml:space="preserve"> of </w:t>
            </w:r>
            <w:r w:rsidR="00A93E48" w:rsidRPr="0091763A">
              <w:rPr>
                <w:rFonts w:ascii="Avenir" w:hAnsi="Avenir"/>
                <w:b/>
                <w:sz w:val="24"/>
                <w:szCs w:val="24"/>
              </w:rPr>
              <w:fldChar w:fldCharType="begin"/>
            </w:r>
            <w:r w:rsidRPr="0091763A">
              <w:rPr>
                <w:rFonts w:ascii="Avenir" w:hAnsi="Avenir"/>
                <w:b/>
              </w:rPr>
              <w:instrText xml:space="preserve"> NUMPAGES  </w:instrText>
            </w:r>
            <w:r w:rsidR="00A93E48" w:rsidRPr="0091763A">
              <w:rPr>
                <w:rFonts w:ascii="Avenir" w:hAnsi="Avenir"/>
                <w:b/>
                <w:sz w:val="24"/>
                <w:szCs w:val="24"/>
              </w:rPr>
              <w:fldChar w:fldCharType="separate"/>
            </w:r>
            <w:r w:rsidR="00EA3E39">
              <w:rPr>
                <w:rFonts w:ascii="Avenir" w:hAnsi="Avenir"/>
                <w:b/>
                <w:noProof/>
              </w:rPr>
              <w:t>2</w:t>
            </w:r>
            <w:r w:rsidR="00A93E48" w:rsidRPr="0091763A">
              <w:rPr>
                <w:rFonts w:ascii="Avenir" w:hAnsi="Avenir"/>
                <w:b/>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AFB8F" w14:textId="77777777" w:rsidR="005A6985" w:rsidRDefault="005A6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1D1C7" w14:textId="77777777" w:rsidR="0094710B" w:rsidRDefault="0094710B" w:rsidP="00004886">
      <w:pPr>
        <w:spacing w:after="0" w:line="240" w:lineRule="auto"/>
      </w:pPr>
      <w:r>
        <w:separator/>
      </w:r>
    </w:p>
  </w:footnote>
  <w:footnote w:type="continuationSeparator" w:id="0">
    <w:p w14:paraId="6501CEFD" w14:textId="77777777" w:rsidR="0094710B" w:rsidRDefault="0094710B"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DB56D" w14:textId="77777777" w:rsidR="005A6985" w:rsidRDefault="005A69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250ED" w14:textId="77777777" w:rsidR="004F6C2F" w:rsidRDefault="007B7665" w:rsidP="00004886">
    <w:pPr>
      <w:pStyle w:val="Header"/>
      <w:ind w:left="-720"/>
    </w:pPr>
    <w:r>
      <w:rPr>
        <w:noProof/>
        <w:lang w:eastAsia="zh-TW"/>
      </w:rPr>
      <mc:AlternateContent>
        <mc:Choice Requires="wps">
          <w:drawing>
            <wp:anchor distT="0" distB="0" distL="114300" distR="114300" simplePos="0" relativeHeight="251660288" behindDoc="0" locked="0" layoutInCell="1" allowOverlap="1" wp14:anchorId="1AAA3468" wp14:editId="0EA93DE5">
              <wp:simplePos x="0" y="0"/>
              <wp:positionH relativeFrom="column">
                <wp:posOffset>3409950</wp:posOffset>
              </wp:positionH>
              <wp:positionV relativeFrom="paragraph">
                <wp:posOffset>87630</wp:posOffset>
              </wp:positionV>
              <wp:extent cx="2879090" cy="50355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A3AE8" w14:textId="77777777" w:rsidR="004F6C2F" w:rsidRPr="0091763A" w:rsidRDefault="004F6C2F" w:rsidP="00004886">
                          <w:pPr>
                            <w:jc w:val="right"/>
                            <w:rPr>
                              <w:rFonts w:ascii="Avenir" w:hAnsi="Avenir"/>
                              <w:sz w:val="32"/>
                              <w:szCs w:val="32"/>
                            </w:rPr>
                          </w:pPr>
                          <w:r>
                            <w:rPr>
                              <w:rFonts w:ascii="Avenir" w:hAnsi="Avenir"/>
                              <w:sz w:val="32"/>
                              <w:szCs w:val="32"/>
                            </w:rPr>
                            <w:t>Home Health</w:t>
                          </w:r>
                          <w:r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AAA3468"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" stroked="f">
              <v:textbox style="mso-fit-shape-to-text:t">
                <w:txbxContent>
                  <w:p w14:paraId="0C6A3AE8" w14:textId="77777777" w:rsidR="004F6C2F" w:rsidRPr="0091763A" w:rsidRDefault="004F6C2F" w:rsidP="00004886">
                    <w:pPr>
                      <w:jc w:val="right"/>
                      <w:rPr>
                        <w:rFonts w:ascii="Avenir" w:hAnsi="Avenir"/>
                        <w:sz w:val="32"/>
                        <w:szCs w:val="32"/>
                      </w:rPr>
                    </w:pPr>
                    <w:r>
                      <w:rPr>
                        <w:rFonts w:ascii="Avenir" w:hAnsi="Avenir"/>
                        <w:sz w:val="32"/>
                        <w:szCs w:val="32"/>
                      </w:rPr>
                      <w:t>Home Health</w:t>
                    </w:r>
                    <w:r w:rsidRPr="0091763A">
                      <w:rPr>
                        <w:rFonts w:ascii="Avenir" w:hAnsi="Avenir"/>
                        <w:sz w:val="32"/>
                        <w:szCs w:val="32"/>
                      </w:rPr>
                      <w:t xml:space="preserve"> Policy</w:t>
                    </w:r>
                  </w:p>
                </w:txbxContent>
              </v:textbox>
            </v:shape>
          </w:pict>
        </mc:Fallback>
      </mc:AlternateContent>
    </w:r>
    <w:r w:rsidR="00EA3E39">
      <w:rPr>
        <w:noProof/>
      </w:rPr>
      <w:drawing>
        <wp:inline distT="0" distB="0" distL="0" distR="0" wp14:anchorId="0DB831F1" wp14:editId="6E60A36B">
          <wp:extent cx="2176145" cy="572770"/>
          <wp:effectExtent l="0" t="0" r="0" b="0"/>
          <wp:docPr id="2" name="Picture 1" descr="HHH-Black- for forms.jpg"/>
          <wp:cNvGraphicFramePr/>
          <a:graphic xmlns:a="http://schemas.openxmlformats.org/drawingml/2006/main">
            <a:graphicData uri="http://schemas.openxmlformats.org/drawingml/2006/picture">
              <pic:pic xmlns:pic="http://schemas.openxmlformats.org/drawingml/2006/picture">
                <pic:nvPicPr>
                  <pic:cNvPr id="2" name="Picture 1" descr="HHH-Black- for forms.jpg"/>
                  <pic:cNvPicPr/>
                </pic:nvPicPr>
                <pic:blipFill>
                  <a:blip r:embed="rId1"/>
                  <a:stretch>
                    <a:fillRect/>
                  </a:stretch>
                </pic:blipFill>
                <pic:spPr>
                  <a:xfrm>
                    <a:off x="0" y="0"/>
                    <a:ext cx="2176145" cy="572770"/>
                  </a:xfrm>
                  <a:prstGeom prst="rect">
                    <a:avLst/>
                  </a:prstGeom>
                </pic:spPr>
              </pic:pic>
            </a:graphicData>
          </a:graphic>
        </wp:inline>
      </w:drawing>
    </w:r>
    <w:r w:rsidR="004F6C2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7"/>
      <w:gridCol w:w="3115"/>
    </w:tblGrid>
    <w:tr w:rsidR="005A6985" w:rsidRPr="00004886" w14:paraId="6B67CE3E" w14:textId="77777777" w:rsidTr="005A6985">
      <w:trPr>
        <w:trHeight w:val="432"/>
      </w:trPr>
      <w:tc>
        <w:tcPr>
          <w:tcW w:w="9350" w:type="dxa"/>
          <w:gridSpan w:val="3"/>
          <w:shd w:val="clear" w:color="auto" w:fill="D9D9D9" w:themeFill="background1" w:themeFillShade="D9"/>
          <w:vAlign w:val="center"/>
        </w:tcPr>
        <w:p w14:paraId="0487DE4C" w14:textId="77777777" w:rsidR="005A6985" w:rsidRPr="0091763A" w:rsidRDefault="005A6985" w:rsidP="005A6985">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5A6985" w:rsidRPr="00004886" w14:paraId="4F55BB55" w14:textId="77777777" w:rsidTr="005A6985">
      <w:trPr>
        <w:trHeight w:val="432"/>
      </w:trPr>
      <w:tc>
        <w:tcPr>
          <w:tcW w:w="9350" w:type="dxa"/>
          <w:gridSpan w:val="3"/>
          <w:vAlign w:val="center"/>
        </w:tcPr>
        <w:p w14:paraId="6747FA2F" w14:textId="77777777" w:rsidR="005A6985" w:rsidRPr="00383057" w:rsidRDefault="005A6985" w:rsidP="005A6985">
          <w:pPr>
            <w:spacing w:after="0" w:line="240" w:lineRule="auto"/>
            <w:rPr>
              <w:rFonts w:ascii="Georgia" w:eastAsiaTheme="minorHAnsi" w:hAnsi="Georgia" w:cstheme="minorBidi"/>
            </w:rPr>
          </w:pPr>
          <w:r>
            <w:rPr>
              <w:rFonts w:ascii="Georgia" w:eastAsiaTheme="minorHAnsi" w:hAnsi="Georgia" w:cstheme="minorBidi"/>
            </w:rPr>
            <w:t xml:space="preserve">Intravenous Medication Administration </w:t>
          </w:r>
        </w:p>
      </w:tc>
    </w:tr>
    <w:tr w:rsidR="004F6C2F" w:rsidRPr="00004886" w14:paraId="2B386C82" w14:textId="77777777" w:rsidTr="005A6985">
      <w:tc>
        <w:tcPr>
          <w:tcW w:w="3118" w:type="dxa"/>
          <w:shd w:val="clear" w:color="auto" w:fill="D9D9D9" w:themeFill="background1" w:themeFillShade="D9"/>
        </w:tcPr>
        <w:p w14:paraId="2700990D" w14:textId="77777777" w:rsidR="004F6C2F" w:rsidRPr="0091763A" w:rsidRDefault="004F6C2F" w:rsidP="00513DB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7" w:type="dxa"/>
          <w:shd w:val="clear" w:color="auto" w:fill="D9D9D9" w:themeFill="background1" w:themeFillShade="D9"/>
          <w:tcMar>
            <w:top w:w="115" w:type="dxa"/>
            <w:left w:w="115" w:type="dxa"/>
            <w:bottom w:w="115" w:type="dxa"/>
            <w:right w:w="115" w:type="dxa"/>
          </w:tcMar>
        </w:tcPr>
        <w:p w14:paraId="5CFC5426" w14:textId="77777777" w:rsidR="004F6C2F" w:rsidRPr="0091763A" w:rsidRDefault="004F6C2F" w:rsidP="00513DB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5" w:type="dxa"/>
          <w:shd w:val="clear" w:color="auto" w:fill="D9D9D9" w:themeFill="background1" w:themeFillShade="D9"/>
        </w:tcPr>
        <w:p w14:paraId="57351A22" w14:textId="77777777" w:rsidR="004F6C2F" w:rsidRPr="0091763A" w:rsidRDefault="004F6C2F" w:rsidP="00513DB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4F6C2F" w:rsidRPr="00004886" w14:paraId="300B33BD" w14:textId="77777777" w:rsidTr="005A6985">
      <w:tc>
        <w:tcPr>
          <w:tcW w:w="3118" w:type="dxa"/>
        </w:tcPr>
        <w:p w14:paraId="2EA78F1E" w14:textId="6918ECB8" w:rsidR="004F6C2F" w:rsidRPr="00383057" w:rsidRDefault="005A6985" w:rsidP="00513DB0">
          <w:pPr>
            <w:spacing w:after="0" w:line="240" w:lineRule="auto"/>
            <w:rPr>
              <w:rFonts w:ascii="Georgia" w:eastAsiaTheme="minorHAnsi" w:hAnsi="Georgia" w:cstheme="minorBidi"/>
            </w:rPr>
          </w:pPr>
          <w:r>
            <w:rPr>
              <w:rFonts w:ascii="Georgia" w:eastAsiaTheme="minorHAnsi" w:hAnsi="Georgia" w:cstheme="minorBidi"/>
            </w:rPr>
            <w:t>0</w:t>
          </w:r>
          <w:r w:rsidR="004F6C2F">
            <w:rPr>
              <w:rFonts w:ascii="Georgia" w:eastAsiaTheme="minorHAnsi" w:hAnsi="Georgia" w:cstheme="minorBidi"/>
            </w:rPr>
            <w:t>3/25/</w:t>
          </w:r>
          <w:r>
            <w:rPr>
              <w:rFonts w:ascii="Georgia" w:eastAsiaTheme="minorHAnsi" w:hAnsi="Georgia" w:cstheme="minorBidi"/>
            </w:rPr>
            <w:t>20</w:t>
          </w:r>
          <w:bookmarkStart w:id="0" w:name="_GoBack"/>
          <w:bookmarkEnd w:id="0"/>
          <w:r w:rsidR="004F6C2F">
            <w:rPr>
              <w:rFonts w:ascii="Georgia" w:eastAsiaTheme="minorHAnsi" w:hAnsi="Georgia" w:cstheme="minorBidi"/>
            </w:rPr>
            <w:t>14</w:t>
          </w:r>
        </w:p>
      </w:tc>
      <w:tc>
        <w:tcPr>
          <w:tcW w:w="3117" w:type="dxa"/>
          <w:tcMar>
            <w:top w:w="115" w:type="dxa"/>
            <w:left w:w="115" w:type="dxa"/>
            <w:bottom w:w="115" w:type="dxa"/>
            <w:right w:w="115" w:type="dxa"/>
          </w:tcMar>
        </w:tcPr>
        <w:p w14:paraId="6D2A4E35" w14:textId="2365A2B1" w:rsidR="004F6C2F" w:rsidRPr="00383057" w:rsidRDefault="005A6985" w:rsidP="00513DB0">
          <w:pPr>
            <w:spacing w:after="0" w:line="240" w:lineRule="auto"/>
            <w:rPr>
              <w:rFonts w:ascii="Georgia" w:eastAsiaTheme="minorHAnsi" w:hAnsi="Georgia" w:cstheme="minorBidi"/>
            </w:rPr>
          </w:pPr>
          <w:r>
            <w:rPr>
              <w:rFonts w:ascii="Georgia" w:eastAsiaTheme="minorHAnsi" w:hAnsi="Georgia" w:cstheme="minorBidi"/>
            </w:rPr>
            <w:t>06/16/2023</w:t>
          </w:r>
        </w:p>
      </w:tc>
      <w:tc>
        <w:tcPr>
          <w:tcW w:w="3115" w:type="dxa"/>
        </w:tcPr>
        <w:p w14:paraId="0B073F11" w14:textId="3024B021" w:rsidR="004F6C2F" w:rsidRPr="00383057" w:rsidRDefault="005A6985" w:rsidP="00513DB0">
          <w:pPr>
            <w:spacing w:after="0" w:line="240" w:lineRule="auto"/>
            <w:rPr>
              <w:rFonts w:ascii="Georgia" w:eastAsiaTheme="minorHAnsi" w:hAnsi="Georgia" w:cstheme="minorBidi"/>
            </w:rPr>
          </w:pPr>
          <w:r>
            <w:rPr>
              <w:rFonts w:ascii="Georgia" w:eastAsiaTheme="minorHAnsi" w:hAnsi="Georgia" w:cstheme="minorBidi"/>
            </w:rPr>
            <w:t>06/16/2025</w:t>
          </w:r>
        </w:p>
      </w:tc>
    </w:tr>
    <w:tr w:rsidR="005A6985" w:rsidRPr="00004886" w14:paraId="4D13CF18" w14:textId="77777777" w:rsidTr="005A6985">
      <w:trPr>
        <w:trHeight w:val="432"/>
      </w:trPr>
      <w:tc>
        <w:tcPr>
          <w:tcW w:w="9350" w:type="dxa"/>
          <w:gridSpan w:val="3"/>
          <w:shd w:val="clear" w:color="auto" w:fill="D9D9D9" w:themeFill="background1" w:themeFillShade="D9"/>
          <w:vAlign w:val="center"/>
        </w:tcPr>
        <w:p w14:paraId="1B775C12" w14:textId="33806463" w:rsidR="005A6985" w:rsidRPr="0091763A" w:rsidRDefault="005A6985" w:rsidP="005A6985">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5A6985" w:rsidRPr="00004886" w14:paraId="1C4F3DC6" w14:textId="77777777" w:rsidTr="005A6985">
      <w:trPr>
        <w:trHeight w:val="576"/>
      </w:trPr>
      <w:tc>
        <w:tcPr>
          <w:tcW w:w="9350" w:type="dxa"/>
          <w:gridSpan w:val="3"/>
          <w:vAlign w:val="center"/>
        </w:tcPr>
        <w:p w14:paraId="74B34447" w14:textId="1D078441" w:rsidR="005A6985" w:rsidRPr="00383057" w:rsidRDefault="005A6985" w:rsidP="005A6985">
          <w:pPr>
            <w:spacing w:after="0" w:line="240" w:lineRule="auto"/>
            <w:rPr>
              <w:rFonts w:ascii="Georgia" w:eastAsiaTheme="minorHAnsi" w:hAnsi="Georgia" w:cstheme="minorBidi"/>
            </w:rPr>
          </w:pPr>
          <w:r>
            <w:rPr>
              <w:rFonts w:ascii="Georgia" w:eastAsiaTheme="minorHAnsi" w:hAnsi="Georgia" w:cstheme="minorBidi"/>
            </w:rPr>
            <w:t>Development, Review, and Revision of Policies are the responsibility of the Ohio Living Holdings Policy Committee as delegated by the Governing Body.</w:t>
          </w:r>
        </w:p>
      </w:tc>
    </w:tr>
    <w:tr w:rsidR="004F6C2F" w:rsidRPr="00004886" w14:paraId="0217013B" w14:textId="77777777" w:rsidTr="005A6985">
      <w:tc>
        <w:tcPr>
          <w:tcW w:w="9350" w:type="dxa"/>
          <w:gridSpan w:val="3"/>
          <w:shd w:val="clear" w:color="auto" w:fill="D9D9D9" w:themeFill="background1" w:themeFillShade="D9"/>
          <w:tcMar>
            <w:top w:w="115" w:type="dxa"/>
            <w:left w:w="115" w:type="dxa"/>
            <w:bottom w:w="115" w:type="dxa"/>
            <w:right w:w="115" w:type="dxa"/>
          </w:tcMar>
        </w:tcPr>
        <w:p w14:paraId="270190A6" w14:textId="77777777" w:rsidR="004F6C2F" w:rsidRPr="0091763A" w:rsidRDefault="004F6C2F" w:rsidP="00513DB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4F6C2F" w:rsidRPr="00004886" w14:paraId="04489BF1" w14:textId="77777777" w:rsidTr="005A6985">
      <w:tc>
        <w:tcPr>
          <w:tcW w:w="9350" w:type="dxa"/>
          <w:gridSpan w:val="3"/>
          <w:shd w:val="clear" w:color="auto" w:fill="auto"/>
          <w:tcMar>
            <w:top w:w="115" w:type="dxa"/>
            <w:left w:w="115" w:type="dxa"/>
            <w:bottom w:w="115" w:type="dxa"/>
            <w:right w:w="115" w:type="dxa"/>
          </w:tcMar>
        </w:tcPr>
        <w:p w14:paraId="4796EE81" w14:textId="77777777" w:rsidR="004F6C2F" w:rsidRPr="00383057" w:rsidRDefault="004F6C2F" w:rsidP="00513DB0">
          <w:pPr>
            <w:spacing w:after="0" w:line="240" w:lineRule="auto"/>
            <w:rPr>
              <w:rFonts w:ascii="Georgia" w:eastAsiaTheme="minorHAnsi" w:hAnsi="Georgia" w:cstheme="minorBidi"/>
            </w:rPr>
          </w:pPr>
        </w:p>
      </w:tc>
    </w:tr>
  </w:tbl>
  <w:p w14:paraId="70932532" w14:textId="77777777" w:rsidR="004F6C2F" w:rsidRDefault="004F6C2F" w:rsidP="00004886">
    <w:pPr>
      <w:pStyle w:val="Header"/>
      <w:ind w:lef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62BC8" w14:textId="77777777" w:rsidR="005A6985" w:rsidRDefault="005A6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896A15"/>
    <w:multiLevelType w:val="hybridMultilevel"/>
    <w:tmpl w:val="2B2EDD8C"/>
    <w:lvl w:ilvl="0" w:tplc="330EF5F8">
      <w:start w:val="1"/>
      <w:numFmt w:val="decimal"/>
      <w:lvlText w:val="%1."/>
      <w:lvlJc w:val="left"/>
      <w:pPr>
        <w:tabs>
          <w:tab w:val="num" w:pos="795"/>
        </w:tabs>
        <w:ind w:left="795" w:hanging="435"/>
      </w:pPr>
      <w:rPr>
        <w:rFonts w:hint="default"/>
      </w:rPr>
    </w:lvl>
    <w:lvl w:ilvl="1" w:tplc="BC92E29E">
      <w:start w:val="1"/>
      <w:numFmt w:val="upperLetter"/>
      <w:lvlText w:val="%2."/>
      <w:lvlJc w:val="left"/>
      <w:pPr>
        <w:tabs>
          <w:tab w:val="num" w:pos="1515"/>
        </w:tabs>
        <w:ind w:left="1515" w:hanging="435"/>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1534C2F"/>
    <w:multiLevelType w:val="hybridMultilevel"/>
    <w:tmpl w:val="E7401BAC"/>
    <w:lvl w:ilvl="0" w:tplc="0F8CBD64">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50686"/>
    <w:multiLevelType w:val="hybridMultilevel"/>
    <w:tmpl w:val="44A2701C"/>
    <w:lvl w:ilvl="0" w:tplc="FB6E6FA0">
      <w:start w:val="1"/>
      <w:numFmt w:val="decimal"/>
      <w:lvlText w:val="%1."/>
      <w:lvlJc w:val="left"/>
      <w:pPr>
        <w:tabs>
          <w:tab w:val="num" w:pos="720"/>
        </w:tabs>
        <w:ind w:left="720" w:hanging="360"/>
      </w:pPr>
      <w:rPr>
        <w:rFonts w:hint="default"/>
      </w:rPr>
    </w:lvl>
    <w:lvl w:ilvl="1" w:tplc="5210820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187737E"/>
    <w:multiLevelType w:val="hybridMultilevel"/>
    <w:tmpl w:val="F730A4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C133AA"/>
    <w:multiLevelType w:val="hybridMultilevel"/>
    <w:tmpl w:val="8992229A"/>
    <w:lvl w:ilvl="0" w:tplc="C56C57CC">
      <w:start w:val="1"/>
      <w:numFmt w:val="decimal"/>
      <w:lvlText w:val="%1."/>
      <w:lvlJc w:val="left"/>
      <w:pPr>
        <w:tabs>
          <w:tab w:val="num" w:pos="1440"/>
        </w:tabs>
        <w:ind w:left="1440" w:hanging="360"/>
      </w:pPr>
      <w:rPr>
        <w:rFonts w:hint="default"/>
      </w:rPr>
    </w:lvl>
    <w:lvl w:ilvl="1" w:tplc="B33EF294">
      <w:start w:val="1"/>
      <w:numFmt w:val="upperLetter"/>
      <w:lvlText w:val="%2."/>
      <w:lvlJc w:val="left"/>
      <w:pPr>
        <w:tabs>
          <w:tab w:val="num" w:pos="1371"/>
        </w:tabs>
        <w:ind w:left="1371" w:hanging="435"/>
      </w:pPr>
      <w:rPr>
        <w:rFonts w:hint="default"/>
      </w:r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6"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B9C135A"/>
    <w:multiLevelType w:val="hybridMultilevel"/>
    <w:tmpl w:val="254AEA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A4727B"/>
    <w:multiLevelType w:val="hybridMultilevel"/>
    <w:tmpl w:val="71F41E18"/>
    <w:lvl w:ilvl="0" w:tplc="D046C6EA">
      <w:start w:val="1"/>
      <w:numFmt w:val="upperLetter"/>
      <w:lvlText w:val="%1."/>
      <w:lvlJc w:val="left"/>
      <w:pPr>
        <w:tabs>
          <w:tab w:val="num" w:pos="435"/>
        </w:tabs>
        <w:ind w:left="435" w:hanging="435"/>
      </w:pPr>
      <w:rPr>
        <w:rFonts w:ascii="Arial" w:hAnsi="Arial" w:cs="Arial" w:hint="default"/>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A7AA964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69666BF"/>
    <w:multiLevelType w:val="hybridMultilevel"/>
    <w:tmpl w:val="ED265842"/>
    <w:lvl w:ilvl="0" w:tplc="10062FC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1"/>
  </w:num>
  <w:num w:numId="3">
    <w:abstractNumId w:val="6"/>
  </w:num>
  <w:num w:numId="4">
    <w:abstractNumId w:val="9"/>
  </w:num>
  <w:num w:numId="5">
    <w:abstractNumId w:val="8"/>
  </w:num>
  <w:num w:numId="6">
    <w:abstractNumId w:val="3"/>
  </w:num>
  <w:num w:numId="7">
    <w:abstractNumId w:val="5"/>
  </w:num>
  <w:num w:numId="8">
    <w:abstractNumId w:val="7"/>
  </w:num>
  <w:num w:numId="9">
    <w:abstractNumId w:val="4"/>
  </w:num>
  <w:num w:numId="10">
    <w:abstractNumId w:val="1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17F74"/>
    <w:rsid w:val="00070BDF"/>
    <w:rsid w:val="000E0733"/>
    <w:rsid w:val="001070F8"/>
    <w:rsid w:val="002174C0"/>
    <w:rsid w:val="00366B62"/>
    <w:rsid w:val="00383057"/>
    <w:rsid w:val="003A605C"/>
    <w:rsid w:val="003D1663"/>
    <w:rsid w:val="004039FB"/>
    <w:rsid w:val="00496194"/>
    <w:rsid w:val="004B00A2"/>
    <w:rsid w:val="004F6C2F"/>
    <w:rsid w:val="004F7E1E"/>
    <w:rsid w:val="00513DB0"/>
    <w:rsid w:val="005A6985"/>
    <w:rsid w:val="005C50B3"/>
    <w:rsid w:val="006318B2"/>
    <w:rsid w:val="00636251"/>
    <w:rsid w:val="0064513A"/>
    <w:rsid w:val="006772EC"/>
    <w:rsid w:val="006C0ECD"/>
    <w:rsid w:val="00721119"/>
    <w:rsid w:val="00744C01"/>
    <w:rsid w:val="007B7665"/>
    <w:rsid w:val="007D240F"/>
    <w:rsid w:val="00806F6F"/>
    <w:rsid w:val="00857EA6"/>
    <w:rsid w:val="008F49D4"/>
    <w:rsid w:val="00914055"/>
    <w:rsid w:val="0091763A"/>
    <w:rsid w:val="009342A6"/>
    <w:rsid w:val="0094710B"/>
    <w:rsid w:val="009F3EE2"/>
    <w:rsid w:val="00A1280F"/>
    <w:rsid w:val="00A63F7C"/>
    <w:rsid w:val="00A93E48"/>
    <w:rsid w:val="00AC317F"/>
    <w:rsid w:val="00AE5C65"/>
    <w:rsid w:val="00AF7CAE"/>
    <w:rsid w:val="00BA51C0"/>
    <w:rsid w:val="00BF3D68"/>
    <w:rsid w:val="00C6333B"/>
    <w:rsid w:val="00C70850"/>
    <w:rsid w:val="00C82A2B"/>
    <w:rsid w:val="00C97BB8"/>
    <w:rsid w:val="00D63C3F"/>
    <w:rsid w:val="00DD17C5"/>
    <w:rsid w:val="00DE38FB"/>
    <w:rsid w:val="00E547EA"/>
    <w:rsid w:val="00E810E1"/>
    <w:rsid w:val="00EA3E39"/>
    <w:rsid w:val="00F107CD"/>
    <w:rsid w:val="00F53FEA"/>
    <w:rsid w:val="00F82CBC"/>
    <w:rsid w:val="00FF23CE"/>
    <w:rsid w:val="00FF3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F8D73B"/>
  <w15:docId w15:val="{80440998-9088-4B8D-94A7-B6E63699E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uiPriority w:val="9"/>
    <w:qFormat/>
    <w:rsid w:val="00513D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Heading1"/>
    <w:link w:val="Heading3Char"/>
    <w:qFormat/>
    <w:rsid w:val="00513DB0"/>
    <w:pPr>
      <w:keepLines w:val="0"/>
      <w:spacing w:before="0" w:line="240" w:lineRule="auto"/>
      <w:outlineLvl w:val="2"/>
    </w:pPr>
    <w:rPr>
      <w:rFonts w:ascii="Times New Roman" w:eastAsia="PMingLiU" w:hAnsi="Times New Roman" w:cs="Times New Roman"/>
      <w:caps/>
      <w:color w:val="auto"/>
    </w:rPr>
  </w:style>
  <w:style w:type="paragraph" w:styleId="Heading4">
    <w:name w:val="heading 4"/>
    <w:basedOn w:val="Normal"/>
    <w:next w:val="Normal"/>
    <w:link w:val="Heading4Char"/>
    <w:qFormat/>
    <w:rsid w:val="00513DB0"/>
    <w:pPr>
      <w:keepNext/>
      <w:spacing w:after="0" w:line="240" w:lineRule="auto"/>
      <w:outlineLvl w:val="3"/>
    </w:pPr>
    <w:rPr>
      <w:rFonts w:ascii="Times New Roman" w:eastAsia="PMingLiU" w:hAnsi="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3Char">
    <w:name w:val="Heading 3 Char"/>
    <w:basedOn w:val="DefaultParagraphFont"/>
    <w:link w:val="Heading3"/>
    <w:rsid w:val="00513DB0"/>
    <w:rPr>
      <w:rFonts w:ascii="Times New Roman" w:eastAsia="PMingLiU" w:hAnsi="Times New Roman"/>
      <w:b/>
      <w:bCs/>
      <w:caps/>
      <w:sz w:val="28"/>
      <w:szCs w:val="28"/>
    </w:rPr>
  </w:style>
  <w:style w:type="character" w:customStyle="1" w:styleId="Heading4Char">
    <w:name w:val="Heading 4 Char"/>
    <w:basedOn w:val="DefaultParagraphFont"/>
    <w:link w:val="Heading4"/>
    <w:rsid w:val="00513DB0"/>
    <w:rPr>
      <w:rFonts w:ascii="Times New Roman" w:eastAsia="PMingLiU" w:hAnsi="Times New Roman"/>
      <w:b/>
      <w:bCs/>
      <w:i/>
      <w:iCs/>
      <w:sz w:val="24"/>
      <w:szCs w:val="24"/>
    </w:rPr>
  </w:style>
  <w:style w:type="paragraph" w:styleId="BodyTextIndent">
    <w:name w:val="Body Text Indent"/>
    <w:basedOn w:val="Normal"/>
    <w:link w:val="BodyTextIndentChar"/>
    <w:semiHidden/>
    <w:rsid w:val="00513DB0"/>
    <w:pPr>
      <w:spacing w:after="0" w:line="240" w:lineRule="auto"/>
      <w:ind w:left="432" w:hanging="432"/>
    </w:pPr>
    <w:rPr>
      <w:rFonts w:ascii="Arial" w:eastAsia="PMingLiU" w:hAnsi="Arial" w:cs="Arial"/>
    </w:rPr>
  </w:style>
  <w:style w:type="character" w:customStyle="1" w:styleId="BodyTextIndentChar">
    <w:name w:val="Body Text Indent Char"/>
    <w:basedOn w:val="DefaultParagraphFont"/>
    <w:link w:val="BodyTextIndent"/>
    <w:semiHidden/>
    <w:rsid w:val="00513DB0"/>
    <w:rPr>
      <w:rFonts w:ascii="Arial" w:eastAsia="PMingLiU" w:hAnsi="Arial" w:cs="Arial"/>
      <w:sz w:val="22"/>
      <w:szCs w:val="22"/>
    </w:rPr>
  </w:style>
  <w:style w:type="paragraph" w:styleId="BodyTextIndent2">
    <w:name w:val="Body Text Indent 2"/>
    <w:basedOn w:val="Normal"/>
    <w:link w:val="BodyTextIndent2Char"/>
    <w:semiHidden/>
    <w:rsid w:val="00513DB0"/>
    <w:pPr>
      <w:spacing w:after="0" w:line="240" w:lineRule="auto"/>
      <w:ind w:left="864" w:hanging="432"/>
    </w:pPr>
    <w:rPr>
      <w:rFonts w:ascii="Arial" w:eastAsia="PMingLiU" w:hAnsi="Arial" w:cs="Arial"/>
    </w:rPr>
  </w:style>
  <w:style w:type="character" w:customStyle="1" w:styleId="BodyTextIndent2Char">
    <w:name w:val="Body Text Indent 2 Char"/>
    <w:basedOn w:val="DefaultParagraphFont"/>
    <w:link w:val="BodyTextIndent2"/>
    <w:semiHidden/>
    <w:rsid w:val="00513DB0"/>
    <w:rPr>
      <w:rFonts w:ascii="Arial" w:eastAsia="PMingLiU" w:hAnsi="Arial" w:cs="Arial"/>
      <w:sz w:val="22"/>
      <w:szCs w:val="22"/>
    </w:rPr>
  </w:style>
  <w:style w:type="character" w:customStyle="1" w:styleId="Heading1Char">
    <w:name w:val="Heading 1 Char"/>
    <w:basedOn w:val="DefaultParagraphFont"/>
    <w:link w:val="Heading1"/>
    <w:uiPriority w:val="9"/>
    <w:rsid w:val="00513DB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58576-8001-4EBB-88BC-F22DA11E2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3</cp:revision>
  <dcterms:created xsi:type="dcterms:W3CDTF">2023-08-22T19:00:00Z</dcterms:created>
  <dcterms:modified xsi:type="dcterms:W3CDTF">2023-08-22T19:04:00Z</dcterms:modified>
</cp:coreProperties>
</file>