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7F3E" w14:textId="77777777" w:rsidR="003E7EC6" w:rsidRPr="00983F41" w:rsidRDefault="003E7EC6" w:rsidP="003E7EC6">
      <w:pPr>
        <w:pStyle w:val="Heading3"/>
        <w:rPr>
          <w:rFonts w:ascii="Georgia" w:hAnsi="Georgia"/>
        </w:rPr>
      </w:pPr>
      <w:r w:rsidRPr="001C3564">
        <w:rPr>
          <w:rFonts w:ascii="Avenir" w:hAnsi="Avenir"/>
        </w:rPr>
        <w:t>PURPOSE</w:t>
      </w:r>
    </w:p>
    <w:p w14:paraId="414832C2" w14:textId="77777777" w:rsidR="003E7EC6" w:rsidRPr="00983F41" w:rsidRDefault="003E7EC6" w:rsidP="003E7EC6">
      <w:pPr>
        <w:spacing w:after="0" w:line="240" w:lineRule="auto"/>
        <w:rPr>
          <w:rFonts w:ascii="Georgia" w:hAnsi="Georgia"/>
        </w:rPr>
      </w:pPr>
    </w:p>
    <w:p w14:paraId="09D01006" w14:textId="04D7D6B2" w:rsidR="003E7EC6" w:rsidRPr="00983F41" w:rsidRDefault="003E7EC6" w:rsidP="003E7EC6">
      <w:pPr>
        <w:spacing w:after="0" w:line="240" w:lineRule="auto"/>
        <w:rPr>
          <w:rFonts w:ascii="Georgia" w:hAnsi="Georgia"/>
        </w:rPr>
      </w:pPr>
      <w:r w:rsidRPr="00983F41">
        <w:rPr>
          <w:rFonts w:ascii="Georgia" w:hAnsi="Georgia"/>
        </w:rPr>
        <w:t>To assure proper use of, accounting for, and disposal of controlled substances, such as drugs and biologicals</w:t>
      </w:r>
      <w:r w:rsidR="006F4274">
        <w:rPr>
          <w:rFonts w:ascii="Georgia" w:hAnsi="Georgia"/>
        </w:rPr>
        <w:t xml:space="preserve"> in the home</w:t>
      </w:r>
      <w:r w:rsidRPr="00983F41">
        <w:rPr>
          <w:rFonts w:ascii="Georgia" w:hAnsi="Georgia"/>
        </w:rPr>
        <w:t>.</w:t>
      </w:r>
    </w:p>
    <w:p w14:paraId="0E037DF7" w14:textId="77777777" w:rsidR="003E7EC6" w:rsidRPr="00983F41" w:rsidRDefault="003E7EC6" w:rsidP="003E7EC6">
      <w:pPr>
        <w:spacing w:after="0" w:line="240" w:lineRule="auto"/>
        <w:rPr>
          <w:rFonts w:ascii="Georgia" w:hAnsi="Georgia"/>
        </w:rPr>
      </w:pPr>
    </w:p>
    <w:p w14:paraId="370420A8" w14:textId="77777777" w:rsidR="003E7EC6" w:rsidRPr="001C3564" w:rsidRDefault="003E7EC6" w:rsidP="003E7EC6">
      <w:pPr>
        <w:pStyle w:val="Heading3"/>
        <w:rPr>
          <w:rFonts w:ascii="Avenir" w:hAnsi="Avenir"/>
        </w:rPr>
      </w:pPr>
      <w:r w:rsidRPr="001C3564">
        <w:rPr>
          <w:rFonts w:ascii="Avenir" w:hAnsi="Avenir"/>
        </w:rPr>
        <w:t>POLICY</w:t>
      </w:r>
    </w:p>
    <w:p w14:paraId="3465A227" w14:textId="77777777" w:rsidR="003E7EC6" w:rsidRPr="00983F41" w:rsidRDefault="003E7EC6" w:rsidP="003E7EC6">
      <w:pPr>
        <w:spacing w:after="0" w:line="240" w:lineRule="auto"/>
        <w:rPr>
          <w:rFonts w:ascii="Georgia" w:hAnsi="Georgia"/>
        </w:rPr>
      </w:pPr>
    </w:p>
    <w:p w14:paraId="3A0A72D5" w14:textId="77777777" w:rsidR="003E7EC6" w:rsidRPr="00983F41" w:rsidRDefault="003E7EC6" w:rsidP="003E7EC6">
      <w:pPr>
        <w:spacing w:after="0" w:line="240" w:lineRule="auto"/>
        <w:rPr>
          <w:rFonts w:ascii="Georgia" w:hAnsi="Georgia"/>
        </w:rPr>
      </w:pPr>
      <w:r>
        <w:rPr>
          <w:rFonts w:ascii="Georgia" w:hAnsi="Georgia"/>
        </w:rPr>
        <w:t xml:space="preserve">Ohio Living Home Health </w:t>
      </w:r>
      <w:r w:rsidRPr="00983F41">
        <w:rPr>
          <w:rFonts w:ascii="Georgia" w:hAnsi="Georgia"/>
        </w:rPr>
        <w:t>voluntarily adheres to a controlled drug reporting process.</w:t>
      </w:r>
    </w:p>
    <w:p w14:paraId="3DE425DA" w14:textId="77777777" w:rsidR="003E7EC6" w:rsidRPr="00983F41" w:rsidRDefault="003E7EC6" w:rsidP="003E7EC6">
      <w:pPr>
        <w:spacing w:after="0" w:line="240" w:lineRule="auto"/>
        <w:rPr>
          <w:rFonts w:ascii="Georgia" w:hAnsi="Georgia"/>
        </w:rPr>
      </w:pPr>
    </w:p>
    <w:p w14:paraId="748CF92E" w14:textId="77777777" w:rsidR="003E7EC6" w:rsidRPr="001C3564" w:rsidRDefault="003E7EC6" w:rsidP="003E7EC6">
      <w:pPr>
        <w:pStyle w:val="Heading3"/>
        <w:rPr>
          <w:rFonts w:ascii="Avenir" w:hAnsi="Avenir"/>
        </w:rPr>
      </w:pPr>
      <w:r w:rsidRPr="001C3564">
        <w:rPr>
          <w:rFonts w:ascii="Avenir" w:hAnsi="Avenir"/>
        </w:rPr>
        <w:t>PROCEDURE</w:t>
      </w:r>
    </w:p>
    <w:p w14:paraId="5F404382" w14:textId="77777777" w:rsidR="003E7EC6" w:rsidRPr="00983F41" w:rsidRDefault="003E7EC6" w:rsidP="003E7EC6">
      <w:pPr>
        <w:spacing w:after="0" w:line="240" w:lineRule="auto"/>
        <w:rPr>
          <w:rFonts w:ascii="Georgia" w:hAnsi="Georgia"/>
        </w:rPr>
      </w:pPr>
    </w:p>
    <w:p w14:paraId="3F6ABE59" w14:textId="2F2D4403" w:rsidR="003E7EC6" w:rsidRPr="00983F41" w:rsidRDefault="003E7EC6" w:rsidP="003E7EC6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Controlled substances will be distributed directly to the patient or his/her representative.  The dispensing pharmacist is responsible for monitoring the amount of drug issued and the length of time between renewals.</w:t>
      </w:r>
    </w:p>
    <w:p w14:paraId="326A208B" w14:textId="77777777" w:rsidR="003E7EC6" w:rsidRPr="00983F41" w:rsidRDefault="003E7EC6" w:rsidP="003E7EC6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>An informal documentation procedure for the patient and family/caregiver may be outlined for use when organization personnel are not present in the home.</w:t>
      </w:r>
    </w:p>
    <w:p w14:paraId="4595C57B" w14:textId="58DF91AA" w:rsidR="003E7EC6" w:rsidRPr="00983F41" w:rsidRDefault="003E7EC6" w:rsidP="003E7EC6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When a home care patient no longer has a need for a controlled substance the clinician </w:t>
      </w:r>
      <w:r w:rsidR="006F4274">
        <w:rPr>
          <w:rFonts w:ascii="Georgia" w:hAnsi="Georgia"/>
        </w:rPr>
        <w:t>should</w:t>
      </w:r>
      <w:r w:rsidRPr="00983F41">
        <w:rPr>
          <w:rFonts w:ascii="Georgia" w:hAnsi="Georgia"/>
        </w:rPr>
        <w:t xml:space="preserve"> instruct the patient and/or the family/caregiver to dispose of the drugs.</w:t>
      </w:r>
    </w:p>
    <w:p w14:paraId="4CF41BCC" w14:textId="683274C7" w:rsidR="003E7EC6" w:rsidRDefault="003E7EC6" w:rsidP="003E7EC6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983F41">
        <w:rPr>
          <w:rFonts w:ascii="Georgia" w:hAnsi="Georgia"/>
        </w:rPr>
        <w:t xml:space="preserve">The clinician </w:t>
      </w:r>
      <w:r w:rsidR="006F4274">
        <w:rPr>
          <w:rFonts w:ascii="Georgia" w:hAnsi="Georgia"/>
        </w:rPr>
        <w:t xml:space="preserve">should </w:t>
      </w:r>
      <w:r w:rsidRPr="00983F41">
        <w:rPr>
          <w:rFonts w:ascii="Georgia" w:hAnsi="Georgia"/>
        </w:rPr>
        <w:t>document in the clinical record that the patient and family/caregiver w</w:t>
      </w:r>
      <w:r w:rsidR="00114F67">
        <w:rPr>
          <w:rFonts w:ascii="Georgia" w:hAnsi="Georgia"/>
        </w:rPr>
        <w:t>ere</w:t>
      </w:r>
      <w:r w:rsidRPr="00983F41">
        <w:rPr>
          <w:rFonts w:ascii="Georgia" w:hAnsi="Georgia"/>
        </w:rPr>
        <w:t xml:space="preserve"> instructed to dispose of medications and took responsibility to do so.</w:t>
      </w:r>
    </w:p>
    <w:p w14:paraId="33299CB2" w14:textId="77777777" w:rsidR="007D240F" w:rsidRPr="003E7EC6" w:rsidRDefault="003E7EC6" w:rsidP="003E7EC6">
      <w:pPr>
        <w:pStyle w:val="BodyTextIndent"/>
        <w:numPr>
          <w:ilvl w:val="0"/>
          <w:numId w:val="12"/>
        </w:numPr>
        <w:tabs>
          <w:tab w:val="clear" w:pos="720"/>
        </w:tabs>
        <w:ind w:left="432" w:hanging="432"/>
        <w:rPr>
          <w:rFonts w:ascii="Georgia" w:hAnsi="Georgia"/>
        </w:rPr>
      </w:pPr>
      <w:r w:rsidRPr="003E7EC6">
        <w:rPr>
          <w:rFonts w:ascii="Georgia" w:hAnsi="Georgia"/>
        </w:rPr>
        <w:t>Organization personnel will not dispose of any patient medi</w:t>
      </w:r>
      <w:bookmarkStart w:id="0" w:name="_GoBack"/>
      <w:bookmarkEnd w:id="0"/>
      <w:r w:rsidRPr="003E7EC6">
        <w:rPr>
          <w:rFonts w:ascii="Georgia" w:hAnsi="Georgia"/>
        </w:rPr>
        <w:t>cations</w:t>
      </w:r>
    </w:p>
    <w:sectPr w:rsidR="007D240F" w:rsidRPr="003E7EC6" w:rsidSect="0064513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6E19D7" w16cex:dateUtc="2023-07-28T14:4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2A85F" w14:textId="77777777" w:rsidR="00596EBB" w:rsidRDefault="00596EBB" w:rsidP="00004886">
      <w:pPr>
        <w:spacing w:after="0" w:line="240" w:lineRule="auto"/>
      </w:pPr>
      <w:r>
        <w:separator/>
      </w:r>
    </w:p>
  </w:endnote>
  <w:endnote w:type="continuationSeparator" w:id="0">
    <w:p w14:paraId="2EC48A4C" w14:textId="77777777" w:rsidR="00596EBB" w:rsidRDefault="00596EBB" w:rsidP="00004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">
    <w:altName w:val="Corbel"/>
    <w:charset w:val="00"/>
    <w:family w:val="swiss"/>
    <w:pitch w:val="variable"/>
    <w:sig w:usb0="00000001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nir" w:hAnsi="Avenir"/>
      </w:rPr>
      <w:id w:val="289173961"/>
      <w:docPartObj>
        <w:docPartGallery w:val="Page Numbers (Bottom of Page)"/>
        <w:docPartUnique/>
      </w:docPartObj>
    </w:sdtPr>
    <w:sdtEndPr/>
    <w:sdtContent>
      <w:sdt>
        <w:sdtPr>
          <w:rPr>
            <w:rFonts w:ascii="Avenir" w:hAnsi="Avenir"/>
          </w:r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3C82839B" w14:textId="7F61B224" w:rsidR="004F6C2F" w:rsidRPr="00B673C3" w:rsidRDefault="004F6C2F" w:rsidP="00B673C3">
            <w:pPr>
              <w:pStyle w:val="Footer"/>
              <w:jc w:val="right"/>
              <w:rPr>
                <w:rFonts w:ascii="Avenir" w:hAnsi="Avenir"/>
              </w:rPr>
            </w:pPr>
            <w:r w:rsidRPr="0091763A">
              <w:rPr>
                <w:rFonts w:ascii="Avenir" w:hAnsi="Avenir"/>
              </w:rPr>
              <w:t xml:space="preserve">Page </w:t>
            </w:r>
            <w:r w:rsidR="00477574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PAGE </w:instrText>
            </w:r>
            <w:r w:rsidR="00477574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1D2E03">
              <w:rPr>
                <w:rFonts w:ascii="Avenir" w:hAnsi="Avenir"/>
                <w:b/>
                <w:noProof/>
              </w:rPr>
              <w:t>1</w:t>
            </w:r>
            <w:r w:rsidR="00477574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  <w:r w:rsidRPr="0091763A">
              <w:rPr>
                <w:rFonts w:ascii="Avenir" w:hAnsi="Avenir"/>
              </w:rPr>
              <w:t xml:space="preserve"> of </w:t>
            </w:r>
            <w:r w:rsidR="00477574" w:rsidRPr="0091763A">
              <w:rPr>
                <w:rFonts w:ascii="Avenir" w:hAnsi="Avenir"/>
                <w:b/>
                <w:sz w:val="24"/>
                <w:szCs w:val="24"/>
              </w:rPr>
              <w:fldChar w:fldCharType="begin"/>
            </w:r>
            <w:r w:rsidRPr="0091763A">
              <w:rPr>
                <w:rFonts w:ascii="Avenir" w:hAnsi="Avenir"/>
                <w:b/>
              </w:rPr>
              <w:instrText xml:space="preserve"> NUMPAGES  </w:instrText>
            </w:r>
            <w:r w:rsidR="00477574" w:rsidRPr="0091763A">
              <w:rPr>
                <w:rFonts w:ascii="Avenir" w:hAnsi="Avenir"/>
                <w:b/>
                <w:sz w:val="24"/>
                <w:szCs w:val="24"/>
              </w:rPr>
              <w:fldChar w:fldCharType="separate"/>
            </w:r>
            <w:r w:rsidR="001D2E03">
              <w:rPr>
                <w:rFonts w:ascii="Avenir" w:hAnsi="Avenir"/>
                <w:b/>
                <w:noProof/>
              </w:rPr>
              <w:t>1</w:t>
            </w:r>
            <w:r w:rsidR="00477574" w:rsidRPr="0091763A">
              <w:rPr>
                <w:rFonts w:ascii="Avenir" w:hAnsi="Avenir"/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D1521" w14:textId="77777777" w:rsidR="00596EBB" w:rsidRDefault="00596EBB" w:rsidP="00004886">
      <w:pPr>
        <w:spacing w:after="0" w:line="240" w:lineRule="auto"/>
      </w:pPr>
      <w:r>
        <w:separator/>
      </w:r>
    </w:p>
  </w:footnote>
  <w:footnote w:type="continuationSeparator" w:id="0">
    <w:p w14:paraId="6F474C04" w14:textId="77777777" w:rsidR="00596EBB" w:rsidRDefault="00596EBB" w:rsidP="00004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52A56" w14:textId="77777777" w:rsidR="004F6C2F" w:rsidRDefault="00652DCC" w:rsidP="00004886">
    <w:pPr>
      <w:pStyle w:val="Header"/>
      <w:ind w:left="-720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26AF58" wp14:editId="6121A1C0">
              <wp:simplePos x="0" y="0"/>
              <wp:positionH relativeFrom="column">
                <wp:posOffset>3409950</wp:posOffset>
              </wp:positionH>
              <wp:positionV relativeFrom="paragraph">
                <wp:posOffset>87630</wp:posOffset>
              </wp:positionV>
              <wp:extent cx="2879090" cy="50355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503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0B106" w14:textId="77777777" w:rsidR="004F6C2F" w:rsidRPr="0091763A" w:rsidRDefault="004F6C2F" w:rsidP="00004886">
                          <w:pPr>
                            <w:jc w:val="right"/>
                            <w:rPr>
                              <w:rFonts w:ascii="Avenir" w:hAnsi="Aveni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>Home Health</w:t>
                          </w:r>
                          <w:r w:rsidRPr="0091763A">
                            <w:rPr>
                              <w:rFonts w:ascii="Avenir" w:hAnsi="Avenir"/>
                              <w:sz w:val="32"/>
                              <w:szCs w:val="32"/>
                            </w:rPr>
                            <w:t xml:space="preserve"> Policy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26AF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68.5pt;margin-top:6.9pt;width:226.7pt;height:39.6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" stroked="f">
              <v:textbox style="mso-fit-shape-to-text:t">
                <w:txbxContent>
                  <w:p w14:paraId="4AA0B106" w14:textId="77777777" w:rsidR="004F6C2F" w:rsidRPr="0091763A" w:rsidRDefault="004F6C2F" w:rsidP="00004886">
                    <w:pPr>
                      <w:jc w:val="right"/>
                      <w:rPr>
                        <w:rFonts w:ascii="Avenir" w:hAnsi="Avenir"/>
                        <w:sz w:val="32"/>
                        <w:szCs w:val="32"/>
                      </w:rPr>
                    </w:pPr>
                    <w:r>
                      <w:rPr>
                        <w:rFonts w:ascii="Avenir" w:hAnsi="Avenir"/>
                        <w:sz w:val="32"/>
                        <w:szCs w:val="32"/>
                      </w:rPr>
                      <w:t>Home Health</w:t>
                    </w:r>
                    <w:r w:rsidRPr="0091763A">
                      <w:rPr>
                        <w:rFonts w:ascii="Avenir" w:hAnsi="Avenir"/>
                        <w:sz w:val="32"/>
                        <w:szCs w:val="32"/>
                      </w:rPr>
                      <w:t xml:space="preserve"> Policy</w:t>
                    </w:r>
                  </w:p>
                </w:txbxContent>
              </v:textbox>
            </v:shape>
          </w:pict>
        </mc:Fallback>
      </mc:AlternateContent>
    </w:r>
    <w:r w:rsidR="001D2E03">
      <w:rPr>
        <w:noProof/>
      </w:rPr>
      <w:drawing>
        <wp:inline distT="0" distB="0" distL="0" distR="0" wp14:anchorId="62473A55" wp14:editId="6195CB2F">
          <wp:extent cx="2176145" cy="572770"/>
          <wp:effectExtent l="0" t="0" r="0" b="0"/>
          <wp:docPr id="2" name="Picture 1" descr="HHH-Black- for forms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HHH-Black- for form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6145" cy="572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6C2F">
      <w:t xml:space="preserve"> 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15"/>
      <w:gridCol w:w="3118"/>
      <w:gridCol w:w="3117"/>
    </w:tblGrid>
    <w:tr w:rsidR="00B673C3" w:rsidRPr="00004886" w14:paraId="20DCC318" w14:textId="77777777" w:rsidTr="00B673C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614A3CD" w14:textId="77777777" w:rsidR="00B673C3" w:rsidRPr="0091763A" w:rsidRDefault="00B673C3" w:rsidP="00B673C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Policy Name</w:t>
          </w:r>
        </w:p>
      </w:tc>
    </w:tr>
    <w:tr w:rsidR="00B673C3" w:rsidRPr="00004886" w14:paraId="12F5A956" w14:textId="77777777" w:rsidTr="00B673C3">
      <w:trPr>
        <w:trHeight w:val="432"/>
      </w:trPr>
      <w:tc>
        <w:tcPr>
          <w:tcW w:w="9350" w:type="dxa"/>
          <w:gridSpan w:val="3"/>
          <w:vAlign w:val="center"/>
        </w:tcPr>
        <w:p w14:paraId="25AA57C3" w14:textId="77777777" w:rsidR="00B673C3" w:rsidRPr="00383057" w:rsidRDefault="00B673C3" w:rsidP="00B673C3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 xml:space="preserve">Home Use and Disposal of Controlled Substances </w:t>
          </w:r>
        </w:p>
      </w:tc>
    </w:tr>
    <w:tr w:rsidR="004F6C2F" w:rsidRPr="00004886" w14:paraId="501A3039" w14:textId="77777777" w:rsidTr="00B673C3">
      <w:tc>
        <w:tcPr>
          <w:tcW w:w="3115" w:type="dxa"/>
          <w:shd w:val="clear" w:color="auto" w:fill="D9D9D9" w:themeFill="background1" w:themeFillShade="D9"/>
        </w:tcPr>
        <w:p w14:paraId="756E0561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Effective Date</w:t>
          </w:r>
        </w:p>
      </w:tc>
      <w:tc>
        <w:tcPr>
          <w:tcW w:w="3118" w:type="dxa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18D162D6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Revised Date</w:t>
          </w:r>
        </w:p>
      </w:tc>
      <w:tc>
        <w:tcPr>
          <w:tcW w:w="3117" w:type="dxa"/>
          <w:shd w:val="clear" w:color="auto" w:fill="D9D9D9" w:themeFill="background1" w:themeFillShade="D9"/>
        </w:tcPr>
        <w:p w14:paraId="33C96450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Next Review Date</w:t>
          </w:r>
        </w:p>
      </w:tc>
    </w:tr>
    <w:tr w:rsidR="004F6C2F" w:rsidRPr="00004886" w14:paraId="5BF0017C" w14:textId="77777777" w:rsidTr="00B673C3">
      <w:trPr>
        <w:trHeight w:val="288"/>
      </w:trPr>
      <w:tc>
        <w:tcPr>
          <w:tcW w:w="3115" w:type="dxa"/>
        </w:tcPr>
        <w:p w14:paraId="17B8C869" w14:textId="703796DD" w:rsidR="004F6C2F" w:rsidRPr="00383057" w:rsidRDefault="00B673C3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</w:t>
          </w:r>
          <w:r w:rsidR="004F6C2F">
            <w:rPr>
              <w:rFonts w:ascii="Georgia" w:eastAsiaTheme="minorHAnsi" w:hAnsi="Georgia" w:cstheme="minorBidi"/>
            </w:rPr>
            <w:t>3/25/</w:t>
          </w:r>
          <w:r>
            <w:rPr>
              <w:rFonts w:ascii="Georgia" w:eastAsiaTheme="minorHAnsi" w:hAnsi="Georgia" w:cstheme="minorBidi"/>
            </w:rPr>
            <w:t>20</w:t>
          </w:r>
          <w:r w:rsidR="004F6C2F">
            <w:rPr>
              <w:rFonts w:ascii="Georgia" w:eastAsiaTheme="minorHAnsi" w:hAnsi="Georgia" w:cstheme="minorBidi"/>
            </w:rPr>
            <w:t>14</w:t>
          </w:r>
        </w:p>
      </w:tc>
      <w:tc>
        <w:tcPr>
          <w:tcW w:w="3118" w:type="dxa"/>
          <w:tcMar>
            <w:top w:w="115" w:type="dxa"/>
            <w:left w:w="115" w:type="dxa"/>
            <w:bottom w:w="115" w:type="dxa"/>
            <w:right w:w="115" w:type="dxa"/>
          </w:tcMar>
        </w:tcPr>
        <w:p w14:paraId="26ED257C" w14:textId="50648F12" w:rsidR="004F6C2F" w:rsidRPr="00383057" w:rsidRDefault="00B673C3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07/28/2023</w:t>
          </w:r>
        </w:p>
      </w:tc>
      <w:tc>
        <w:tcPr>
          <w:tcW w:w="3117" w:type="dxa"/>
        </w:tcPr>
        <w:p w14:paraId="72C3C881" w14:textId="38104E92" w:rsidR="004F6C2F" w:rsidRPr="00383057" w:rsidRDefault="00B673C3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07/28/2025</w:t>
          </w:r>
        </w:p>
      </w:tc>
    </w:tr>
    <w:tr w:rsidR="00B673C3" w:rsidRPr="00004886" w14:paraId="1FB8C4AE" w14:textId="77777777" w:rsidTr="00B673C3">
      <w:trPr>
        <w:trHeight w:val="432"/>
      </w:trPr>
      <w:tc>
        <w:tcPr>
          <w:tcW w:w="9350" w:type="dxa"/>
          <w:gridSpan w:val="3"/>
          <w:shd w:val="clear" w:color="auto" w:fill="D9D9D9" w:themeFill="background1" w:themeFillShade="D9"/>
          <w:vAlign w:val="center"/>
        </w:tcPr>
        <w:p w14:paraId="4206F383" w14:textId="562FBC91" w:rsidR="00B673C3" w:rsidRPr="0091763A" w:rsidRDefault="00B673C3" w:rsidP="00B673C3">
          <w:pPr>
            <w:spacing w:after="0" w:line="240" w:lineRule="auto"/>
            <w:rPr>
              <w:rFonts w:ascii="Avenir" w:eastAsiaTheme="minorHAnsi" w:hAnsi="Avenir" w:cstheme="minorBidi"/>
              <w:b/>
            </w:rPr>
          </w:pPr>
          <w:r w:rsidRPr="0091763A">
            <w:rPr>
              <w:rFonts w:ascii="Avenir" w:eastAsiaTheme="minorHAnsi" w:hAnsi="Avenir" w:cstheme="minorBidi"/>
              <w:b/>
            </w:rPr>
            <w:t>A</w:t>
          </w:r>
          <w:r>
            <w:rPr>
              <w:rFonts w:ascii="Avenir" w:eastAsiaTheme="minorHAnsi" w:hAnsi="Avenir" w:cstheme="minorBidi"/>
              <w:b/>
            </w:rPr>
            <w:t>uthor &amp; A</w:t>
          </w:r>
          <w:r w:rsidRPr="0091763A">
            <w:rPr>
              <w:rFonts w:ascii="Avenir" w:eastAsiaTheme="minorHAnsi" w:hAnsi="Avenir" w:cstheme="minorBidi"/>
              <w:b/>
            </w:rPr>
            <w:t>pprover Title</w:t>
          </w:r>
        </w:p>
      </w:tc>
    </w:tr>
    <w:tr w:rsidR="00B673C3" w:rsidRPr="00004886" w14:paraId="184A5DD6" w14:textId="77777777" w:rsidTr="00B673C3">
      <w:trPr>
        <w:trHeight w:val="576"/>
      </w:trPr>
      <w:tc>
        <w:tcPr>
          <w:tcW w:w="9350" w:type="dxa"/>
          <w:gridSpan w:val="3"/>
          <w:vAlign w:val="center"/>
        </w:tcPr>
        <w:p w14:paraId="47C2D3F6" w14:textId="5DF0A568" w:rsidR="00B673C3" w:rsidRPr="00383057" w:rsidRDefault="00B673C3" w:rsidP="00B673C3">
          <w:pPr>
            <w:spacing w:after="0" w:line="240" w:lineRule="auto"/>
            <w:rPr>
              <w:rFonts w:ascii="Georgia" w:eastAsiaTheme="minorHAnsi" w:hAnsi="Georgia" w:cstheme="minorBidi"/>
            </w:rPr>
          </w:pPr>
          <w:r>
            <w:rPr>
              <w:rFonts w:ascii="Georgia" w:eastAsiaTheme="minorHAnsi" w:hAnsi="Georgia" w:cstheme="minorBidi"/>
            </w:rPr>
            <w:t>Development, Review, and Revision of Policies are the responsibility of the Ohio Living Holdings Policy Committee as delegated by the Governing Body.</w:t>
          </w:r>
        </w:p>
      </w:tc>
    </w:tr>
    <w:tr w:rsidR="004F6C2F" w:rsidRPr="00004886" w14:paraId="7AF09408" w14:textId="77777777" w:rsidTr="00B673C3">
      <w:tc>
        <w:tcPr>
          <w:tcW w:w="9350" w:type="dxa"/>
          <w:gridSpan w:val="3"/>
          <w:shd w:val="clear" w:color="auto" w:fill="D9D9D9" w:themeFill="background1" w:themeFillShade="D9"/>
          <w:tcMar>
            <w:top w:w="115" w:type="dxa"/>
            <w:left w:w="115" w:type="dxa"/>
            <w:bottom w:w="115" w:type="dxa"/>
            <w:right w:w="115" w:type="dxa"/>
          </w:tcMar>
        </w:tcPr>
        <w:p w14:paraId="77FE8992" w14:textId="77777777" w:rsidR="004F6C2F" w:rsidRPr="0091763A" w:rsidRDefault="004F6C2F" w:rsidP="00513DB0">
          <w:pPr>
            <w:spacing w:after="0" w:line="240" w:lineRule="auto"/>
            <w:rPr>
              <w:rFonts w:ascii="Avenir" w:eastAsiaTheme="minorHAnsi" w:hAnsi="Avenir" w:cstheme="minorBidi"/>
            </w:rPr>
          </w:pPr>
          <w:r w:rsidRPr="0091763A">
            <w:rPr>
              <w:rFonts w:ascii="Avenir" w:eastAsiaTheme="minorHAnsi" w:hAnsi="Avenir" w:cstheme="minorBidi"/>
              <w:b/>
            </w:rPr>
            <w:t>Attachments or Other Resources (Not Required)</w:t>
          </w:r>
        </w:p>
      </w:tc>
    </w:tr>
    <w:tr w:rsidR="004F6C2F" w:rsidRPr="00004886" w14:paraId="18EE5633" w14:textId="77777777" w:rsidTr="00B673C3">
      <w:tc>
        <w:tcPr>
          <w:tcW w:w="9350" w:type="dxa"/>
          <w:gridSpan w:val="3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7A6BE99E" w14:textId="77777777" w:rsidR="004F6C2F" w:rsidRPr="00383057" w:rsidRDefault="004F6C2F" w:rsidP="00513DB0">
          <w:pPr>
            <w:spacing w:after="0" w:line="240" w:lineRule="auto"/>
            <w:rPr>
              <w:rFonts w:ascii="Georgia" w:eastAsiaTheme="minorHAnsi" w:hAnsi="Georgia" w:cstheme="minorBidi"/>
            </w:rPr>
          </w:pPr>
        </w:p>
      </w:tc>
    </w:tr>
  </w:tbl>
  <w:p w14:paraId="0A6DA97D" w14:textId="77777777" w:rsidR="004F6C2F" w:rsidRDefault="004F6C2F" w:rsidP="00004886">
    <w:pPr>
      <w:pStyle w:val="Header"/>
      <w:ind w:left="-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C5DF2"/>
    <w:multiLevelType w:val="hybridMultilevel"/>
    <w:tmpl w:val="0BA8940A"/>
    <w:lvl w:ilvl="0" w:tplc="4A0ACD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534C2F"/>
    <w:multiLevelType w:val="hybridMultilevel"/>
    <w:tmpl w:val="E7401BAC"/>
    <w:lvl w:ilvl="0" w:tplc="0F8CBD6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50686"/>
    <w:multiLevelType w:val="hybridMultilevel"/>
    <w:tmpl w:val="44A2701C"/>
    <w:lvl w:ilvl="0" w:tplc="FB6E6F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10820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87737E"/>
    <w:multiLevelType w:val="hybridMultilevel"/>
    <w:tmpl w:val="F730A4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C133AA"/>
    <w:multiLevelType w:val="hybridMultilevel"/>
    <w:tmpl w:val="8992229A"/>
    <w:lvl w:ilvl="0" w:tplc="C56C57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33EF294">
      <w:start w:val="1"/>
      <w:numFmt w:val="upperLetter"/>
      <w:lvlText w:val="%2."/>
      <w:lvlJc w:val="left"/>
      <w:pPr>
        <w:tabs>
          <w:tab w:val="num" w:pos="1371"/>
        </w:tabs>
        <w:ind w:left="1371" w:hanging="435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5" w15:restartNumberingAfterBreak="0">
    <w:nsid w:val="3703333A"/>
    <w:multiLevelType w:val="hybridMultilevel"/>
    <w:tmpl w:val="0492A7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9C135A"/>
    <w:multiLevelType w:val="hybridMultilevel"/>
    <w:tmpl w:val="254AE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727B"/>
    <w:multiLevelType w:val="hybridMultilevel"/>
    <w:tmpl w:val="71F41E18"/>
    <w:lvl w:ilvl="0" w:tplc="D046C6EA">
      <w:start w:val="1"/>
      <w:numFmt w:val="upperLetter"/>
      <w:lvlText w:val="%1."/>
      <w:lvlJc w:val="left"/>
      <w:pPr>
        <w:tabs>
          <w:tab w:val="num" w:pos="435"/>
        </w:tabs>
        <w:ind w:left="435" w:hanging="435"/>
      </w:pPr>
      <w:rPr>
        <w:rFonts w:ascii="Arial" w:hAnsi="Arial" w:cs="Arial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AA9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A13318"/>
    <w:multiLevelType w:val="hybridMultilevel"/>
    <w:tmpl w:val="996EBB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69666BF"/>
    <w:multiLevelType w:val="hybridMultilevel"/>
    <w:tmpl w:val="ED265842"/>
    <w:lvl w:ilvl="0" w:tplc="10062FC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17695A"/>
    <w:multiLevelType w:val="hybridMultilevel"/>
    <w:tmpl w:val="892E242C"/>
    <w:lvl w:ilvl="0" w:tplc="15E8D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7B7622"/>
    <w:multiLevelType w:val="hybridMultilevel"/>
    <w:tmpl w:val="80D01F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3"/>
  </w:num>
  <w:num w:numId="10">
    <w:abstractNumId w:val="9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sDA3NzA0NzMxMTeysDBR0lEKTi0uzszPAykwqgUAg9g07CwAAAA="/>
  </w:docVars>
  <w:rsids>
    <w:rsidRoot w:val="00004886"/>
    <w:rsid w:val="00004886"/>
    <w:rsid w:val="00017F74"/>
    <w:rsid w:val="00070BDF"/>
    <w:rsid w:val="000E0733"/>
    <w:rsid w:val="00114F67"/>
    <w:rsid w:val="001437F9"/>
    <w:rsid w:val="001D2E03"/>
    <w:rsid w:val="002174C0"/>
    <w:rsid w:val="00226C9C"/>
    <w:rsid w:val="00366B62"/>
    <w:rsid w:val="00383057"/>
    <w:rsid w:val="003A605C"/>
    <w:rsid w:val="003E7EC6"/>
    <w:rsid w:val="004039FB"/>
    <w:rsid w:val="00452B87"/>
    <w:rsid w:val="00477574"/>
    <w:rsid w:val="00496194"/>
    <w:rsid w:val="004B00A2"/>
    <w:rsid w:val="004F6C2F"/>
    <w:rsid w:val="004F7E1E"/>
    <w:rsid w:val="00513DB0"/>
    <w:rsid w:val="00596EBB"/>
    <w:rsid w:val="006318B2"/>
    <w:rsid w:val="00636251"/>
    <w:rsid w:val="0064513A"/>
    <w:rsid w:val="00652DCC"/>
    <w:rsid w:val="006772EC"/>
    <w:rsid w:val="006C0ECD"/>
    <w:rsid w:val="006F4274"/>
    <w:rsid w:val="00721119"/>
    <w:rsid w:val="00744C01"/>
    <w:rsid w:val="007D240F"/>
    <w:rsid w:val="00806F6F"/>
    <w:rsid w:val="00824AAD"/>
    <w:rsid w:val="00857EA6"/>
    <w:rsid w:val="008F49D4"/>
    <w:rsid w:val="00914055"/>
    <w:rsid w:val="0091763A"/>
    <w:rsid w:val="009342A6"/>
    <w:rsid w:val="009F3EE2"/>
    <w:rsid w:val="00A1280F"/>
    <w:rsid w:val="00A63F7C"/>
    <w:rsid w:val="00AC317F"/>
    <w:rsid w:val="00AF7CAE"/>
    <w:rsid w:val="00B673C3"/>
    <w:rsid w:val="00BA51C0"/>
    <w:rsid w:val="00C70850"/>
    <w:rsid w:val="00C82A2B"/>
    <w:rsid w:val="00C97BB8"/>
    <w:rsid w:val="00DD17C5"/>
    <w:rsid w:val="00DE38FB"/>
    <w:rsid w:val="00E547EA"/>
    <w:rsid w:val="00E810E1"/>
    <w:rsid w:val="00F107CD"/>
    <w:rsid w:val="00F53FEA"/>
    <w:rsid w:val="00FF23CE"/>
    <w:rsid w:val="00FF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9A08050"/>
  <w15:docId w15:val="{A43BC7D0-26AD-44C5-A170-2DD025618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513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D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1"/>
    <w:link w:val="Heading3Char"/>
    <w:qFormat/>
    <w:rsid w:val="00513DB0"/>
    <w:pPr>
      <w:keepLines w:val="0"/>
      <w:spacing w:before="0" w:line="240" w:lineRule="auto"/>
      <w:outlineLvl w:val="2"/>
    </w:pPr>
    <w:rPr>
      <w:rFonts w:ascii="Times New Roman" w:eastAsia="PMingLiU" w:hAnsi="Times New Roman" w:cs="Times New Roman"/>
      <w:caps/>
      <w:color w:val="auto"/>
    </w:rPr>
  </w:style>
  <w:style w:type="paragraph" w:styleId="Heading4">
    <w:name w:val="heading 4"/>
    <w:basedOn w:val="Normal"/>
    <w:next w:val="Normal"/>
    <w:link w:val="Heading4Char"/>
    <w:qFormat/>
    <w:rsid w:val="00513DB0"/>
    <w:pPr>
      <w:keepNext/>
      <w:spacing w:after="0" w:line="240" w:lineRule="auto"/>
      <w:outlineLvl w:val="3"/>
    </w:pPr>
    <w:rPr>
      <w:rFonts w:ascii="Times New Roman" w:eastAsia="PMingLiU" w:hAnsi="Times New Roman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886"/>
  </w:style>
  <w:style w:type="paragraph" w:styleId="Footer">
    <w:name w:val="footer"/>
    <w:basedOn w:val="Normal"/>
    <w:link w:val="FooterChar"/>
    <w:uiPriority w:val="99"/>
    <w:unhideWhenUsed/>
    <w:rsid w:val="000048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886"/>
  </w:style>
  <w:style w:type="paragraph" w:styleId="BalloonText">
    <w:name w:val="Balloon Text"/>
    <w:basedOn w:val="Normal"/>
    <w:link w:val="BalloonTextChar"/>
    <w:uiPriority w:val="99"/>
    <w:semiHidden/>
    <w:unhideWhenUsed/>
    <w:rsid w:val="00004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88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04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23C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513DB0"/>
    <w:rPr>
      <w:rFonts w:ascii="Times New Roman" w:eastAsia="PMingLiU" w:hAnsi="Times New Roman"/>
      <w:b/>
      <w:bCs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513DB0"/>
    <w:rPr>
      <w:rFonts w:ascii="Times New Roman" w:eastAsia="PMingLiU" w:hAnsi="Times New Roman"/>
      <w:b/>
      <w:bCs/>
      <w:i/>
      <w:iCs/>
      <w:sz w:val="24"/>
      <w:szCs w:val="24"/>
    </w:rPr>
  </w:style>
  <w:style w:type="paragraph" w:styleId="BodyTextIndent">
    <w:name w:val="Body Text Indent"/>
    <w:basedOn w:val="Normal"/>
    <w:link w:val="BodyTextIndentChar"/>
    <w:semiHidden/>
    <w:rsid w:val="00513DB0"/>
    <w:pPr>
      <w:spacing w:after="0" w:line="240" w:lineRule="auto"/>
      <w:ind w:left="432" w:hanging="432"/>
    </w:pPr>
    <w:rPr>
      <w:rFonts w:ascii="Arial" w:eastAsia="PMingLiU" w:hAnsi="Arial" w:cs="Arial"/>
    </w:rPr>
  </w:style>
  <w:style w:type="character" w:customStyle="1" w:styleId="BodyTextIndentChar">
    <w:name w:val="Body Text Indent Char"/>
    <w:basedOn w:val="DefaultParagraphFont"/>
    <w:link w:val="BodyTextIndent"/>
    <w:semiHidden/>
    <w:rsid w:val="00513DB0"/>
    <w:rPr>
      <w:rFonts w:ascii="Arial" w:eastAsia="PMingLiU" w:hAnsi="Arial" w:cs="Arial"/>
      <w:sz w:val="22"/>
      <w:szCs w:val="22"/>
    </w:rPr>
  </w:style>
  <w:style w:type="paragraph" w:styleId="BodyTextIndent2">
    <w:name w:val="Body Text Indent 2"/>
    <w:basedOn w:val="Normal"/>
    <w:link w:val="BodyTextIndent2Char"/>
    <w:semiHidden/>
    <w:rsid w:val="00513DB0"/>
    <w:pPr>
      <w:spacing w:after="0" w:line="240" w:lineRule="auto"/>
      <w:ind w:left="864" w:hanging="432"/>
    </w:pPr>
    <w:rPr>
      <w:rFonts w:ascii="Arial" w:eastAsia="PMingLiU" w:hAnsi="Arial" w:cs="Arial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513DB0"/>
    <w:rPr>
      <w:rFonts w:ascii="Arial" w:eastAsia="PMingLiU" w:hAnsi="Arial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513D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6F42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42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427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42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42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BCA8EA-14C6-4075-82C6-B232D763E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OPRS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Colleen Stoker</dc:creator>
  <cp:lastModifiedBy>Lauren Mathis</cp:lastModifiedBy>
  <cp:revision>3</cp:revision>
  <dcterms:created xsi:type="dcterms:W3CDTF">2023-08-22T18:25:00Z</dcterms:created>
  <dcterms:modified xsi:type="dcterms:W3CDTF">2023-08-22T18:28:00Z</dcterms:modified>
</cp:coreProperties>
</file>