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9053C" w14:textId="77777777" w:rsidR="0096300F" w:rsidRPr="0017562B" w:rsidRDefault="0096300F" w:rsidP="0096300F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PURPOSE</w:t>
      </w:r>
    </w:p>
    <w:p w14:paraId="286A95D5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1C02C75A" w14:textId="77777777" w:rsidR="0096300F" w:rsidRPr="00983F41" w:rsidRDefault="0096300F" w:rsidP="0096300F">
      <w:pPr>
        <w:spacing w:after="0" w:line="240" w:lineRule="auto"/>
        <w:rPr>
          <w:rFonts w:ascii="Georgia" w:hAnsi="Georgia"/>
          <w:b/>
          <w:bCs/>
        </w:rPr>
      </w:pPr>
      <w:r w:rsidRPr="00983F41">
        <w:rPr>
          <w:rFonts w:ascii="Georgia" w:hAnsi="Georgia"/>
        </w:rPr>
        <w:t>To provide guidelines for the safe administration of medications by licensed personnel.</w:t>
      </w:r>
    </w:p>
    <w:p w14:paraId="31A6794D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5A883BE3" w14:textId="77777777" w:rsidR="0096300F" w:rsidRPr="0017562B" w:rsidRDefault="0096300F" w:rsidP="0096300F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POLICY</w:t>
      </w:r>
    </w:p>
    <w:p w14:paraId="376E6728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21782E64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Licensed nursing personnel will administer and document only those medications which have been ordered as a part of the plan of care and have been approved for safe administration and monitoring during a home visit.</w:t>
      </w:r>
    </w:p>
    <w:p w14:paraId="1A988966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68DBC413" w14:textId="77777777" w:rsidR="0096300F" w:rsidRDefault="0096300F" w:rsidP="0096300F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Registered nurses may administer oral, subcutaneous, intramuscular, and intravenous medication</w:t>
      </w:r>
    </w:p>
    <w:p w14:paraId="51FE0BAE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1A12F8F1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Licensed practical nurses may administer oral, subcutaneous, and intramuscular injections.  Intravenous medication administration will be per state Nurse Practice Act.</w:t>
      </w:r>
    </w:p>
    <w:p w14:paraId="64E4EA26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3CF7A147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Per practice act guidelines, certification and competency demonstrated for IV administration of identified drugs will be documented in the clinician’s personnel file.</w:t>
      </w:r>
    </w:p>
    <w:p w14:paraId="02F2E2BC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3AF0F3C7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 xml:space="preserve">Non-licensed personnel may, with instruction, supervise and assist the patient’s self-administration of medication.  </w:t>
      </w:r>
    </w:p>
    <w:p w14:paraId="48C4FCF3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4828D716" w14:textId="6900B618" w:rsidR="0096300F" w:rsidRPr="00983F41" w:rsidRDefault="0096300F" w:rsidP="0096300F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Ohio Living Home Health </w:t>
      </w:r>
      <w:r w:rsidR="00935D7C">
        <w:rPr>
          <w:rFonts w:ascii="Georgia" w:hAnsi="Georgia"/>
        </w:rPr>
        <w:t xml:space="preserve">nursing will have access to and </w:t>
      </w:r>
      <w:r w:rsidR="003964F5">
        <w:rPr>
          <w:rFonts w:ascii="Georgia" w:hAnsi="Georgia"/>
        </w:rPr>
        <w:t>utilize</w:t>
      </w:r>
      <w:r w:rsidR="00935D7C">
        <w:rPr>
          <w:rFonts w:ascii="Georgia" w:hAnsi="Georgia"/>
        </w:rPr>
        <w:t xml:space="preserve"> First Databank (FDB) within the electronic medical records as well as pharmacists filling the prescription.</w:t>
      </w:r>
      <w:r w:rsidR="00D54902">
        <w:rPr>
          <w:rFonts w:ascii="Georgia" w:hAnsi="Georgia"/>
        </w:rPr>
        <w:t xml:space="preserve"> </w:t>
      </w:r>
      <w:r w:rsidRPr="00983F41">
        <w:rPr>
          <w:rFonts w:ascii="Georgia" w:hAnsi="Georgia"/>
        </w:rPr>
        <w:t>These reference</w:t>
      </w:r>
      <w:r w:rsidR="00935D7C">
        <w:rPr>
          <w:rFonts w:ascii="Georgia" w:hAnsi="Georgia"/>
        </w:rPr>
        <w:t>s</w:t>
      </w:r>
      <w:r w:rsidRPr="00983F41">
        <w:rPr>
          <w:rFonts w:ascii="Georgia" w:hAnsi="Georgia"/>
        </w:rPr>
        <w:t xml:space="preserve"> provide information concerning drug indications, drug interactions, pharmacology/</w:t>
      </w:r>
      <w:r w:rsidR="00D54902">
        <w:rPr>
          <w:rFonts w:ascii="Georgia" w:hAnsi="Georgia"/>
        </w:rPr>
        <w:t xml:space="preserve"> </w:t>
      </w:r>
      <w:r w:rsidRPr="00983F41">
        <w:rPr>
          <w:rFonts w:ascii="Georgia" w:hAnsi="Georgia"/>
        </w:rPr>
        <w:t xml:space="preserve">pharmacokinetics, side/adverse effects, and patient consultation guidance, dosing information, and dosing forms.  </w:t>
      </w:r>
    </w:p>
    <w:p w14:paraId="61D0348B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</w:p>
    <w:p w14:paraId="0B7C9244" w14:textId="77777777" w:rsidR="0096300F" w:rsidRPr="0017562B" w:rsidRDefault="0096300F" w:rsidP="0096300F">
      <w:pPr>
        <w:pStyle w:val="Heading3"/>
        <w:rPr>
          <w:rFonts w:ascii="Avenir" w:hAnsi="Avenir"/>
        </w:rPr>
      </w:pPr>
      <w:r w:rsidRPr="0017562B">
        <w:rPr>
          <w:rFonts w:ascii="Avenir" w:hAnsi="Avenir"/>
        </w:rPr>
        <w:t>PROCEDURE</w:t>
      </w:r>
    </w:p>
    <w:p w14:paraId="4503DF0B" w14:textId="77777777" w:rsidR="0096300F" w:rsidRPr="00983F41" w:rsidRDefault="0096300F" w:rsidP="0096300F">
      <w:pPr>
        <w:spacing w:after="0" w:line="240" w:lineRule="auto"/>
        <w:rPr>
          <w:rFonts w:ascii="Georgia" w:hAnsi="Georgia"/>
        </w:rPr>
      </w:pPr>
      <w:bookmarkStart w:id="0" w:name="_GoBack"/>
      <w:bookmarkEnd w:id="0"/>
    </w:p>
    <w:p w14:paraId="40908682" w14:textId="77777777" w:rsidR="0096300F" w:rsidRPr="00983F41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lastRenderedPageBreak/>
        <w:t>As part of the assessment process, a drug history will be taken, including prescribed and over-the-counter medications, and herbal and nutritional supplements.  A comparison will be made between the physician’s orders and the current medications the patient is taking.  Any discrepancies or contradictions should be reported to the physician for resolution.</w:t>
      </w:r>
    </w:p>
    <w:p w14:paraId="1F07898B" w14:textId="24A85BDB" w:rsidR="0096300F" w:rsidRPr="00983F41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The nurse will provide</w:t>
      </w:r>
      <w:r w:rsidR="00616C59">
        <w:rPr>
          <w:rFonts w:ascii="Georgia" w:hAnsi="Georgia"/>
        </w:rPr>
        <w:t xml:space="preserve"> medication</w:t>
      </w:r>
      <w:r w:rsidRPr="00983F41">
        <w:rPr>
          <w:rFonts w:ascii="Georgia" w:hAnsi="Georgia"/>
        </w:rPr>
        <w:t xml:space="preserve"> instruction to the patient on a continuing basis.  This instruction will include medication administration, route, how medication relates to disease process, contraindications, side effects, and adverse reactions.</w:t>
      </w:r>
    </w:p>
    <w:p w14:paraId="157C727E" w14:textId="51653A8E" w:rsidR="0096300F" w:rsidRPr="00983F41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Licensed nurses </w:t>
      </w:r>
      <w:r w:rsidR="00616C59">
        <w:rPr>
          <w:rFonts w:ascii="Georgia" w:hAnsi="Georgia"/>
        </w:rPr>
        <w:t>may</w:t>
      </w:r>
      <w:r w:rsidRPr="00983F41">
        <w:rPr>
          <w:rFonts w:ascii="Georgia" w:hAnsi="Georgia"/>
        </w:rPr>
        <w:t xml:space="preserve"> administer medications ordered by the physician (or other </w:t>
      </w:r>
      <w:r>
        <w:rPr>
          <w:rFonts w:ascii="Georgia" w:hAnsi="Georgia"/>
        </w:rPr>
        <w:t xml:space="preserve">authorized licensed </w:t>
      </w:r>
      <w:r w:rsidRPr="00983F41">
        <w:rPr>
          <w:rFonts w:ascii="Georgia" w:hAnsi="Georgia"/>
        </w:rPr>
        <w:t>practitioner) that can be safely administered and monitored during a home visit.</w:t>
      </w:r>
    </w:p>
    <w:p w14:paraId="746476B6" w14:textId="77777777" w:rsidR="0096300F" w:rsidRPr="00983F41" w:rsidRDefault="0096300F" w:rsidP="0096300F">
      <w:pPr>
        <w:pStyle w:val="BodyTextIndent2"/>
        <w:numPr>
          <w:ilvl w:val="1"/>
          <w:numId w:val="12"/>
        </w:numPr>
        <w:tabs>
          <w:tab w:val="clear" w:pos="1440"/>
        </w:tabs>
        <w:ind w:left="864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For those ordered medications that cannot be safely administered and monitored, the physician will be contacted for discussion.  </w:t>
      </w:r>
    </w:p>
    <w:p w14:paraId="077F992F" w14:textId="73F49467" w:rsidR="0096300F" w:rsidRPr="00983F41" w:rsidRDefault="003964F5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>
        <w:rPr>
          <w:rFonts w:ascii="Georgia" w:hAnsi="Georgia"/>
        </w:rPr>
        <w:t xml:space="preserve">Only licensed nurses </w:t>
      </w:r>
      <w:r w:rsidR="0096300F" w:rsidRPr="00983F41">
        <w:rPr>
          <w:rFonts w:ascii="Georgia" w:hAnsi="Georgia"/>
        </w:rPr>
        <w:t>wil</w:t>
      </w:r>
      <w:r w:rsidR="0096300F">
        <w:rPr>
          <w:rFonts w:ascii="Georgia" w:hAnsi="Georgia"/>
        </w:rPr>
        <w:t xml:space="preserve">l administer medications.  </w:t>
      </w:r>
    </w:p>
    <w:p w14:paraId="1C4489CE" w14:textId="77777777" w:rsidR="0096300F" w:rsidRPr="00983F41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Nurses who provide intermittent home care visits will document only those medications that they administer, not medications the patient self</w:t>
      </w:r>
      <w:r w:rsidRPr="00983F41">
        <w:rPr>
          <w:rFonts w:ascii="Georgia" w:hAnsi="Georgia"/>
        </w:rPr>
        <w:noBreakHyphen/>
        <w:t>administers during the absence of nursing personnel.</w:t>
      </w:r>
    </w:p>
    <w:p w14:paraId="74B57C69" w14:textId="79200A68" w:rsidR="0096300F" w:rsidRPr="00983F41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Medications will be administered within </w:t>
      </w:r>
      <w:r w:rsidR="003964F5">
        <w:rPr>
          <w:rFonts w:ascii="Georgia" w:hAnsi="Georgia"/>
        </w:rPr>
        <w:t>one hour</w:t>
      </w:r>
      <w:r w:rsidRPr="00983F41">
        <w:rPr>
          <w:rFonts w:ascii="Georgia" w:hAnsi="Georgia"/>
        </w:rPr>
        <w:t xml:space="preserve"> before or after the prescribed times.  Deviance from this time frame will be noted in the patient’s medical record with an explanation made in the clinical notes.</w:t>
      </w:r>
    </w:p>
    <w:p w14:paraId="5B0CB50C" w14:textId="08EE2098" w:rsidR="0096300F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Medications refused, held, and/or omitted will be indicated in the patient’s medical record with an explanation made in the clinical notes.  The attending physician</w:t>
      </w:r>
      <w:r w:rsidR="003964F5">
        <w:rPr>
          <w:rFonts w:ascii="Georgia" w:hAnsi="Georgia"/>
        </w:rPr>
        <w:t>/provider</w:t>
      </w:r>
      <w:r w:rsidRPr="00983F41">
        <w:rPr>
          <w:rFonts w:ascii="Georgia" w:hAnsi="Georgia"/>
        </w:rPr>
        <w:t xml:space="preserve"> will be notified</w:t>
      </w:r>
      <w:r w:rsidR="003964F5">
        <w:rPr>
          <w:rFonts w:ascii="Georgia" w:hAnsi="Georgia"/>
        </w:rPr>
        <w:t xml:space="preserve"> and orders obtained as appropriate</w:t>
      </w:r>
      <w:r w:rsidRPr="00983F41">
        <w:rPr>
          <w:rFonts w:ascii="Georgia" w:hAnsi="Georgia"/>
        </w:rPr>
        <w:t xml:space="preserve">.  </w:t>
      </w:r>
    </w:p>
    <w:p w14:paraId="06AE554E" w14:textId="77777777" w:rsidR="0096300F" w:rsidRPr="00983F41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If, in the judgment of the nurse, it would be beneficial to the patient to document his/her self</w:t>
      </w:r>
      <w:r w:rsidRPr="00983F41">
        <w:rPr>
          <w:rFonts w:ascii="Georgia" w:hAnsi="Georgia"/>
        </w:rPr>
        <w:noBreakHyphen/>
        <w:t>administered medications, a patient self-medication checklist may be prepared and left in the home for the patient’s use.  This document will be used as a service only and will not be incorporated into the clinical record.</w:t>
      </w:r>
    </w:p>
    <w:p w14:paraId="70F6EA40" w14:textId="77777777" w:rsidR="0096300F" w:rsidRPr="0051515C" w:rsidRDefault="0096300F" w:rsidP="0096300F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51515C">
        <w:rPr>
          <w:rFonts w:ascii="Georgia" w:hAnsi="Georgia"/>
        </w:rPr>
        <w:t>Ohio Living Home Health will not administer blood and blood products in the home.</w:t>
      </w:r>
    </w:p>
    <w:p w14:paraId="4B857A48" w14:textId="77777777" w:rsidR="007D240F" w:rsidRPr="00FF3A52" w:rsidRDefault="007D240F" w:rsidP="0096300F">
      <w:pPr>
        <w:spacing w:after="0" w:line="240" w:lineRule="auto"/>
      </w:pPr>
    </w:p>
    <w:sectPr w:rsidR="007D240F" w:rsidRPr="00FF3A52" w:rsidSect="00D54902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0853B0" w14:textId="77777777" w:rsidR="008949AC" w:rsidRDefault="008949AC" w:rsidP="00004886">
      <w:pPr>
        <w:spacing w:after="0" w:line="240" w:lineRule="auto"/>
      </w:pPr>
      <w:r>
        <w:separator/>
      </w:r>
    </w:p>
  </w:endnote>
  <w:endnote w:type="continuationSeparator" w:id="0">
    <w:p w14:paraId="15DC5011" w14:textId="77777777" w:rsidR="008949AC" w:rsidRDefault="008949AC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1346449519"/>
      <w:docPartObj>
        <w:docPartGallery w:val="Page Numbers (Top of Page)"/>
        <w:docPartUnique/>
      </w:docPartObj>
    </w:sdtPr>
    <w:sdtContent>
      <w:p w14:paraId="5CA80CFC" w14:textId="3FFA797D" w:rsidR="00D54902" w:rsidRPr="00D54902" w:rsidRDefault="00D54902" w:rsidP="00D54902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291C85EF" w14:textId="60641859" w:rsidR="004F6C2F" w:rsidRPr="00D54902" w:rsidRDefault="004F6C2F" w:rsidP="00D54902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656E9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656E9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60D10">
              <w:rPr>
                <w:rFonts w:ascii="Avenir" w:hAnsi="Avenir"/>
                <w:b/>
                <w:noProof/>
              </w:rPr>
              <w:t>1</w:t>
            </w:r>
            <w:r w:rsidR="00656E9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656E99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656E99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360D10">
              <w:rPr>
                <w:rFonts w:ascii="Avenir" w:hAnsi="Avenir"/>
                <w:b/>
                <w:noProof/>
              </w:rPr>
              <w:t>3</w:t>
            </w:r>
            <w:r w:rsidR="00656E99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B0FEB0" w14:textId="77777777" w:rsidR="008949AC" w:rsidRDefault="008949AC" w:rsidP="00004886">
      <w:pPr>
        <w:spacing w:after="0" w:line="240" w:lineRule="auto"/>
      </w:pPr>
      <w:r>
        <w:separator/>
      </w:r>
    </w:p>
  </w:footnote>
  <w:footnote w:type="continuationSeparator" w:id="0">
    <w:p w14:paraId="2C8BF068" w14:textId="77777777" w:rsidR="008949AC" w:rsidRDefault="008949AC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659224" w14:textId="77777777" w:rsidR="004F6C2F" w:rsidRDefault="003703D7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6F9A7C" wp14:editId="7B8660F5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E6A82F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6F9A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3DE6A82F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360D10">
      <w:rPr>
        <w:noProof/>
      </w:rPr>
      <w:drawing>
        <wp:inline distT="0" distB="0" distL="0" distR="0" wp14:anchorId="6D429601" wp14:editId="2E81A012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8"/>
      <w:gridCol w:w="3117"/>
      <w:gridCol w:w="3115"/>
    </w:tblGrid>
    <w:tr w:rsidR="00D54902" w:rsidRPr="00004886" w14:paraId="0A3F7085" w14:textId="77777777" w:rsidTr="00D5490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1DF2FF4" w14:textId="77777777" w:rsidR="00D54902" w:rsidRPr="0091763A" w:rsidRDefault="00D54902" w:rsidP="00D5490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D54902" w:rsidRPr="00004886" w14:paraId="194193ED" w14:textId="77777777" w:rsidTr="00D54902">
      <w:trPr>
        <w:trHeight w:val="432"/>
      </w:trPr>
      <w:tc>
        <w:tcPr>
          <w:tcW w:w="9350" w:type="dxa"/>
          <w:gridSpan w:val="3"/>
          <w:vAlign w:val="center"/>
        </w:tcPr>
        <w:p w14:paraId="4181525D" w14:textId="77777777" w:rsidR="00D54902" w:rsidRPr="00383057" w:rsidRDefault="00D54902" w:rsidP="00D5490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Medication Administration and Documentation</w:t>
          </w:r>
        </w:p>
      </w:tc>
    </w:tr>
    <w:tr w:rsidR="004F6C2F" w:rsidRPr="00004886" w14:paraId="7FC691CC" w14:textId="77777777" w:rsidTr="00D54902">
      <w:tc>
        <w:tcPr>
          <w:tcW w:w="3118" w:type="dxa"/>
          <w:shd w:val="clear" w:color="auto" w:fill="D9D9D9" w:themeFill="background1" w:themeFillShade="D9"/>
        </w:tcPr>
        <w:p w14:paraId="03D4B249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7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1C83D11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5" w:type="dxa"/>
          <w:shd w:val="clear" w:color="auto" w:fill="D9D9D9" w:themeFill="background1" w:themeFillShade="D9"/>
        </w:tcPr>
        <w:p w14:paraId="49DB5E89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157AE6E5" w14:textId="77777777" w:rsidTr="00D54902">
      <w:tc>
        <w:tcPr>
          <w:tcW w:w="3118" w:type="dxa"/>
        </w:tcPr>
        <w:p w14:paraId="7FD42BC0" w14:textId="25D1B6BC" w:rsidR="004F6C2F" w:rsidRPr="00383057" w:rsidRDefault="00D54902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7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099F73A4" w14:textId="66E98E21" w:rsidR="004F6C2F" w:rsidRPr="00383057" w:rsidRDefault="00D54902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07/28/2023</w:t>
          </w:r>
        </w:p>
      </w:tc>
      <w:tc>
        <w:tcPr>
          <w:tcW w:w="3115" w:type="dxa"/>
        </w:tcPr>
        <w:p w14:paraId="45241D0A" w14:textId="16ABF663" w:rsidR="004F6C2F" w:rsidRPr="00383057" w:rsidRDefault="00D54902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07/28/2025</w:t>
          </w:r>
        </w:p>
      </w:tc>
    </w:tr>
    <w:tr w:rsidR="00D54902" w:rsidRPr="00004886" w14:paraId="5AD3ABED" w14:textId="77777777" w:rsidTr="00D5490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2C051A6E" w14:textId="0B00C577" w:rsidR="00D54902" w:rsidRPr="0091763A" w:rsidRDefault="00D54902" w:rsidP="00D5490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D54902" w:rsidRPr="00004886" w14:paraId="0F7ABF2E" w14:textId="77777777" w:rsidTr="00D54902">
      <w:trPr>
        <w:trHeight w:val="576"/>
      </w:trPr>
      <w:tc>
        <w:tcPr>
          <w:tcW w:w="9350" w:type="dxa"/>
          <w:gridSpan w:val="3"/>
          <w:vAlign w:val="center"/>
        </w:tcPr>
        <w:p w14:paraId="553FE681" w14:textId="54D866CF" w:rsidR="00D54902" w:rsidRPr="00383057" w:rsidRDefault="00D54902" w:rsidP="00D5490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1FE34099" w14:textId="77777777" w:rsidTr="00D54902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304F2CB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50B64C92" w14:textId="77777777" w:rsidTr="00D54902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6C31E1F4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CA44B7C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3C71DB"/>
    <w:multiLevelType w:val="hybridMultilevel"/>
    <w:tmpl w:val="77BA9694"/>
    <w:lvl w:ilvl="0" w:tplc="D6A07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E426E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2174C0"/>
    <w:rsid w:val="00360D10"/>
    <w:rsid w:val="00366B62"/>
    <w:rsid w:val="003703D7"/>
    <w:rsid w:val="003819AD"/>
    <w:rsid w:val="00383057"/>
    <w:rsid w:val="003964F5"/>
    <w:rsid w:val="003A605C"/>
    <w:rsid w:val="004039FB"/>
    <w:rsid w:val="00496194"/>
    <w:rsid w:val="004B00A2"/>
    <w:rsid w:val="004F6C2F"/>
    <w:rsid w:val="004F7E1E"/>
    <w:rsid w:val="00513DB0"/>
    <w:rsid w:val="00616C59"/>
    <w:rsid w:val="006318B2"/>
    <w:rsid w:val="00636251"/>
    <w:rsid w:val="0064513A"/>
    <w:rsid w:val="00656E99"/>
    <w:rsid w:val="006772EC"/>
    <w:rsid w:val="006C0ECD"/>
    <w:rsid w:val="00721119"/>
    <w:rsid w:val="00744C01"/>
    <w:rsid w:val="007D240F"/>
    <w:rsid w:val="00806F6F"/>
    <w:rsid w:val="00857EA6"/>
    <w:rsid w:val="00860390"/>
    <w:rsid w:val="008949AC"/>
    <w:rsid w:val="008F49D4"/>
    <w:rsid w:val="00914055"/>
    <w:rsid w:val="0091763A"/>
    <w:rsid w:val="009342A6"/>
    <w:rsid w:val="00935D7C"/>
    <w:rsid w:val="0096300F"/>
    <w:rsid w:val="009F3EE2"/>
    <w:rsid w:val="00A1280F"/>
    <w:rsid w:val="00A63F7C"/>
    <w:rsid w:val="00AC317F"/>
    <w:rsid w:val="00AF7CAE"/>
    <w:rsid w:val="00BA51C0"/>
    <w:rsid w:val="00BB56AD"/>
    <w:rsid w:val="00C70850"/>
    <w:rsid w:val="00C82A2B"/>
    <w:rsid w:val="00C97BB8"/>
    <w:rsid w:val="00CE7C6C"/>
    <w:rsid w:val="00D54902"/>
    <w:rsid w:val="00DD17C5"/>
    <w:rsid w:val="00DE38FB"/>
    <w:rsid w:val="00E547EA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A72F439"/>
  <w15:docId w15:val="{BBFD67D6-FABC-419D-9C2A-3BE95844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FA4A02-98E5-43EE-A258-20D3FD54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Colleen Stoker</dc:creator>
  <cp:lastModifiedBy>Lauren Mathis</cp:lastModifiedBy>
  <cp:revision>3</cp:revision>
  <dcterms:created xsi:type="dcterms:W3CDTF">2023-08-22T18:33:00Z</dcterms:created>
  <dcterms:modified xsi:type="dcterms:W3CDTF">2023-08-22T18:34:00Z</dcterms:modified>
</cp:coreProperties>
</file>