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106" w:rsidRPr="00C00CAC" w:rsidRDefault="00D84106" w:rsidP="00D84106">
      <w:pPr>
        <w:pStyle w:val="Heading2"/>
        <w:spacing w:before="0" w:after="100" w:line="240" w:lineRule="auto"/>
        <w:contextualSpacing/>
        <w:rPr>
          <w:rFonts w:ascii="Avenir" w:hAnsi="Avenir"/>
          <w:color w:val="auto"/>
          <w:sz w:val="24"/>
          <w:szCs w:val="22"/>
        </w:rPr>
      </w:pPr>
      <w:bookmarkStart w:id="0" w:name="_GoBack"/>
      <w:bookmarkEnd w:id="0"/>
      <w:r w:rsidRPr="00C00CAC">
        <w:rPr>
          <w:rFonts w:ascii="Avenir" w:hAnsi="Avenir"/>
          <w:color w:val="auto"/>
          <w:sz w:val="24"/>
          <w:szCs w:val="22"/>
        </w:rPr>
        <w:t>Policy</w:t>
      </w:r>
    </w:p>
    <w:p w:rsidR="00D84106" w:rsidRPr="00D84106" w:rsidRDefault="00D84106" w:rsidP="00535FDE">
      <w:pPr>
        <w:spacing w:after="100" w:line="240" w:lineRule="auto"/>
        <w:contextualSpacing/>
        <w:rPr>
          <w:rFonts w:ascii="Georgia" w:hAnsi="Georgia"/>
        </w:rPr>
      </w:pPr>
      <w:r w:rsidRPr="00D84106">
        <w:rPr>
          <w:rFonts w:ascii="Georgia" w:hAnsi="Georgia"/>
        </w:rPr>
        <w:t>Documentation of Medical Nutrition Therapy (MNT) for each resident is the responsibility of the RD/RDN with assistance as assigned to the DTR as appropriate within each professional’s scope of practice and function under the direction of a RD/RDN within their competency level.  All Medical Nutrition Therapy documentation will be in accordance of state and federal regulations and will use The Academy of Nutrition and Dietetics Nutrition Care Process of Nutrition Assessment, Nutrition Diagnosis, Nutrition Intervention, and Nutrition Monitoring and Evaluation.</w:t>
      </w:r>
    </w:p>
    <w:p w:rsidR="00D84106" w:rsidRDefault="00D84106" w:rsidP="00D84106">
      <w:pPr>
        <w:pStyle w:val="Heading2"/>
        <w:spacing w:before="0" w:after="100" w:line="240" w:lineRule="auto"/>
        <w:contextualSpacing/>
        <w:rPr>
          <w:rFonts w:ascii="Avenir" w:hAnsi="Avenir"/>
          <w:color w:val="auto"/>
          <w:sz w:val="22"/>
          <w:szCs w:val="22"/>
        </w:rPr>
      </w:pPr>
    </w:p>
    <w:p w:rsidR="006C1F75" w:rsidRPr="00C00CAC" w:rsidRDefault="006C1F75" w:rsidP="00D84106">
      <w:pPr>
        <w:pStyle w:val="Heading2"/>
        <w:spacing w:before="0" w:after="100" w:line="240" w:lineRule="auto"/>
        <w:contextualSpacing/>
        <w:rPr>
          <w:rFonts w:ascii="Avenir" w:hAnsi="Avenir"/>
          <w:color w:val="auto"/>
          <w:sz w:val="24"/>
          <w:szCs w:val="22"/>
        </w:rPr>
      </w:pPr>
      <w:r w:rsidRPr="00C00CAC">
        <w:rPr>
          <w:rFonts w:ascii="Avenir" w:hAnsi="Avenir"/>
          <w:color w:val="auto"/>
          <w:sz w:val="24"/>
          <w:szCs w:val="22"/>
        </w:rPr>
        <w:t>Purpose</w:t>
      </w:r>
    </w:p>
    <w:p w:rsidR="00D84106" w:rsidRPr="00D84106" w:rsidRDefault="00D84106" w:rsidP="00535FDE">
      <w:pPr>
        <w:pStyle w:val="Heading1"/>
        <w:spacing w:after="100"/>
        <w:contextualSpacing/>
        <w:rPr>
          <w:rFonts w:ascii="Georgia" w:hAnsi="Georgia" w:cs="Arial"/>
          <w:sz w:val="22"/>
        </w:rPr>
      </w:pPr>
      <w:r w:rsidRPr="00D84106">
        <w:rPr>
          <w:rFonts w:ascii="Georgia" w:hAnsi="Georgia" w:cs="Arial"/>
          <w:sz w:val="22"/>
        </w:rPr>
        <w:t>To conduct and assist in the completion of Medical Nutrition Therapy under the direction of a RD/RDN and in accordance with the federal and state requirements.</w:t>
      </w:r>
    </w:p>
    <w:p w:rsidR="00D84106" w:rsidRDefault="00D84106" w:rsidP="00D84106">
      <w:pPr>
        <w:pStyle w:val="Heading1"/>
        <w:spacing w:after="100"/>
        <w:contextualSpacing/>
        <w:rPr>
          <w:rFonts w:ascii="Avenir" w:hAnsi="Avenir"/>
          <w:b/>
          <w:sz w:val="22"/>
          <w:szCs w:val="22"/>
        </w:rPr>
      </w:pPr>
    </w:p>
    <w:p w:rsidR="006C1F75" w:rsidRPr="00C00CAC" w:rsidRDefault="006C1F75" w:rsidP="00D84106">
      <w:pPr>
        <w:pStyle w:val="Heading1"/>
        <w:spacing w:after="100"/>
        <w:contextualSpacing/>
        <w:rPr>
          <w:rFonts w:ascii="Avenir" w:hAnsi="Avenir"/>
          <w:b/>
          <w:szCs w:val="22"/>
        </w:rPr>
      </w:pPr>
      <w:r w:rsidRPr="00C00CAC">
        <w:rPr>
          <w:rFonts w:ascii="Avenir" w:hAnsi="Avenir"/>
          <w:b/>
          <w:szCs w:val="22"/>
        </w:rPr>
        <w:t xml:space="preserve">Procedure </w:t>
      </w:r>
    </w:p>
    <w:p w:rsidR="00D84106" w:rsidRPr="00D84106" w:rsidRDefault="00D84106" w:rsidP="00535FDE">
      <w:pPr>
        <w:widowControl w:val="0"/>
        <w:autoSpaceDE w:val="0"/>
        <w:autoSpaceDN w:val="0"/>
        <w:adjustRightInd w:val="0"/>
        <w:spacing w:after="100" w:line="240" w:lineRule="auto"/>
        <w:contextualSpacing/>
        <w:rPr>
          <w:rFonts w:ascii="Georgia" w:hAnsi="Georgia" w:cs="Arial"/>
          <w:szCs w:val="24"/>
        </w:rPr>
      </w:pPr>
      <w:r w:rsidRPr="00D84106">
        <w:rPr>
          <w:rFonts w:ascii="Georgia" w:hAnsi="Georgia" w:cs="Arial"/>
          <w:szCs w:val="24"/>
        </w:rPr>
        <w:t xml:space="preserve">Information for the MNT will be gathered through interview with individuals, family and staff, observations, and review of the medical record and other tools and assessments. </w:t>
      </w:r>
    </w:p>
    <w:p w:rsidR="00D84106" w:rsidRDefault="00D84106" w:rsidP="00D84106">
      <w:pPr>
        <w:widowControl w:val="0"/>
        <w:autoSpaceDE w:val="0"/>
        <w:autoSpaceDN w:val="0"/>
        <w:adjustRightInd w:val="0"/>
        <w:spacing w:after="100" w:line="240" w:lineRule="auto"/>
        <w:contextualSpacing/>
        <w:jc w:val="both"/>
        <w:rPr>
          <w:rFonts w:ascii="Georgia" w:hAnsi="Georgia" w:cs="Arial"/>
          <w:bCs/>
          <w:szCs w:val="24"/>
        </w:rPr>
      </w:pPr>
    </w:p>
    <w:p w:rsidR="00D84106" w:rsidRPr="00D84106" w:rsidRDefault="00D84106" w:rsidP="00535FDE">
      <w:pPr>
        <w:widowControl w:val="0"/>
        <w:autoSpaceDE w:val="0"/>
        <w:autoSpaceDN w:val="0"/>
        <w:adjustRightInd w:val="0"/>
        <w:spacing w:after="100" w:line="240" w:lineRule="auto"/>
        <w:contextualSpacing/>
        <w:jc w:val="both"/>
        <w:rPr>
          <w:rFonts w:ascii="Georgia" w:hAnsi="Georgia" w:cs="Arial"/>
          <w:bCs/>
          <w:szCs w:val="24"/>
        </w:rPr>
      </w:pPr>
      <w:r w:rsidRPr="00D84106">
        <w:rPr>
          <w:rFonts w:ascii="Georgia" w:hAnsi="Georgia" w:cs="Arial"/>
          <w:bCs/>
          <w:szCs w:val="24"/>
        </w:rPr>
        <w:t>The RD/RDN and/or DTR under the direction of the RD/RDN will complete the following:</w:t>
      </w:r>
    </w:p>
    <w:p w:rsidR="00D84106" w:rsidRPr="00D84106" w:rsidRDefault="00D84106" w:rsidP="00535FDE">
      <w:pPr>
        <w:pStyle w:val="ListParagraph"/>
        <w:numPr>
          <w:ilvl w:val="0"/>
          <w:numId w:val="16"/>
        </w:numPr>
        <w:spacing w:after="100" w:line="240" w:lineRule="auto"/>
        <w:ind w:left="360"/>
        <w:rPr>
          <w:rFonts w:ascii="Georgia" w:hAnsi="Georgia" w:cs="Arial"/>
          <w:szCs w:val="24"/>
        </w:rPr>
      </w:pPr>
      <w:r w:rsidRPr="00D84106">
        <w:rPr>
          <w:rFonts w:ascii="Georgia" w:hAnsi="Georgia" w:cs="Arial"/>
          <w:szCs w:val="24"/>
        </w:rPr>
        <w:t>For each Comprehensive Admission OBRA Minimum Data Set (MDS): a Comprehensive Nutrition Assessment with Progress Note, Completion of Section K of MDS, Care Area Triggers (CAT) , Comprehensive Assessment (CAA) for Nutritional Status and Dehydration/Fluid Maintenance (if triggered)</w:t>
      </w:r>
      <w:r w:rsidR="005C1DDD">
        <w:rPr>
          <w:rFonts w:ascii="Georgia" w:hAnsi="Georgia" w:cs="Arial"/>
          <w:szCs w:val="24"/>
        </w:rPr>
        <w:t>, and Mini Nutritional Assessment for Malnutrition</w:t>
      </w:r>
      <w:r w:rsidRPr="00D84106">
        <w:rPr>
          <w:rFonts w:ascii="Georgia" w:hAnsi="Georgia" w:cs="Arial"/>
          <w:szCs w:val="24"/>
        </w:rPr>
        <w:t xml:space="preserve"> </w:t>
      </w:r>
      <w:r w:rsidR="007F4807">
        <w:rPr>
          <w:rFonts w:ascii="Georgia" w:hAnsi="Georgia" w:cs="Arial"/>
          <w:szCs w:val="24"/>
        </w:rPr>
        <w:t>will be completed in the ARD</w:t>
      </w:r>
      <w:r w:rsidR="004A40A3">
        <w:rPr>
          <w:rFonts w:ascii="Georgia" w:hAnsi="Georgia" w:cs="Arial"/>
          <w:szCs w:val="24"/>
        </w:rPr>
        <w:t xml:space="preserve"> </w:t>
      </w:r>
      <w:r w:rsidR="004A40A3" w:rsidRPr="004A40A3">
        <w:rPr>
          <w:rFonts w:ascii="Georgia" w:hAnsi="Georgia" w:cs="Arial"/>
          <w:szCs w:val="24"/>
        </w:rPr>
        <w:t>(Mini nutritional assessment to be completed for admissions and readmissions only)</w:t>
      </w:r>
      <w:r w:rsidR="004A40A3">
        <w:rPr>
          <w:rFonts w:ascii="Georgia" w:hAnsi="Georgia" w:cs="Arial"/>
          <w:szCs w:val="24"/>
        </w:rPr>
        <w:t xml:space="preserve">  </w:t>
      </w:r>
      <w:r w:rsidR="007F4807">
        <w:rPr>
          <w:rFonts w:ascii="Georgia" w:hAnsi="Georgia" w:cs="Arial"/>
          <w:szCs w:val="24"/>
        </w:rPr>
        <w:t xml:space="preserve"> window </w:t>
      </w:r>
      <w:r w:rsidRPr="00D84106">
        <w:rPr>
          <w:rFonts w:ascii="Georgia" w:hAnsi="Georgia" w:cs="Arial"/>
          <w:szCs w:val="24"/>
        </w:rPr>
        <w:t>and Care Plans will be completed according to Resident Assessment Instrument (RAI) Manual.</w:t>
      </w:r>
    </w:p>
    <w:p w:rsidR="00D84106" w:rsidRPr="00D84106" w:rsidRDefault="00D84106" w:rsidP="00535FDE">
      <w:pPr>
        <w:pStyle w:val="ListParagraph"/>
        <w:numPr>
          <w:ilvl w:val="0"/>
          <w:numId w:val="14"/>
        </w:numPr>
        <w:spacing w:after="100" w:line="240" w:lineRule="auto"/>
        <w:ind w:left="1080"/>
        <w:rPr>
          <w:rFonts w:ascii="Georgia" w:hAnsi="Georgia" w:cs="Arial"/>
          <w:szCs w:val="24"/>
        </w:rPr>
      </w:pPr>
      <w:r w:rsidRPr="00D84106">
        <w:rPr>
          <w:rFonts w:ascii="Georgia" w:hAnsi="Georgia" w:cs="Arial"/>
          <w:szCs w:val="24"/>
        </w:rPr>
        <w:t>The Comprehensive Nutrition Assessment, progress note, MDS, CAT’s, CAA’s and Care Plans will be completed by day 14 of admission</w:t>
      </w:r>
    </w:p>
    <w:p w:rsidR="00D84106" w:rsidRPr="00D84106" w:rsidRDefault="00D84106" w:rsidP="00535FDE">
      <w:pPr>
        <w:pStyle w:val="ListParagraph"/>
        <w:numPr>
          <w:ilvl w:val="0"/>
          <w:numId w:val="15"/>
        </w:numPr>
        <w:spacing w:after="100" w:line="240" w:lineRule="auto"/>
        <w:ind w:left="1980"/>
        <w:rPr>
          <w:rFonts w:ascii="Georgia" w:hAnsi="Georgia" w:cs="Arial"/>
          <w:szCs w:val="24"/>
        </w:rPr>
      </w:pPr>
      <w:r w:rsidRPr="00D84106">
        <w:rPr>
          <w:rFonts w:ascii="Georgia" w:hAnsi="Georgia" w:cs="Arial"/>
          <w:szCs w:val="24"/>
        </w:rPr>
        <w:t xml:space="preserve">Note that the Comprehensive Nutrition Assessment may represent the CAA however RD/RDN and/or DTR must address the CAA’s by stating why the </w:t>
      </w:r>
      <w:r w:rsidRPr="00D84106">
        <w:rPr>
          <w:rFonts w:ascii="Georgia" w:hAnsi="Georgia" w:cs="Arial"/>
          <w:szCs w:val="24"/>
        </w:rPr>
        <w:lastRenderedPageBreak/>
        <w:t>resident is at nutrition risk and if the care plan will or will not be developed on the CAA as well as signing the CAA.</w:t>
      </w:r>
    </w:p>
    <w:p w:rsidR="00D84106" w:rsidRPr="00D84106" w:rsidRDefault="00D84106" w:rsidP="00535FDE">
      <w:pPr>
        <w:pStyle w:val="ListParagraph"/>
        <w:widowControl w:val="0"/>
        <w:numPr>
          <w:ilvl w:val="0"/>
          <w:numId w:val="16"/>
        </w:numPr>
        <w:autoSpaceDE w:val="0"/>
        <w:autoSpaceDN w:val="0"/>
        <w:adjustRightInd w:val="0"/>
        <w:spacing w:after="100" w:line="240" w:lineRule="auto"/>
        <w:ind w:left="360"/>
        <w:rPr>
          <w:rFonts w:ascii="Georgia" w:hAnsi="Georgia" w:cs="Arial"/>
          <w:szCs w:val="24"/>
        </w:rPr>
      </w:pPr>
      <w:r w:rsidRPr="00D84106">
        <w:rPr>
          <w:rFonts w:ascii="Georgia" w:hAnsi="Georgia" w:cs="Arial"/>
          <w:szCs w:val="24"/>
        </w:rPr>
        <w:t xml:space="preserve">For each Comprehensive Annual and Significant Change OBRA MDS Assessment will complete: </w:t>
      </w:r>
      <w:r w:rsidR="004A40A3" w:rsidRPr="00D84106">
        <w:rPr>
          <w:rFonts w:ascii="Georgia" w:hAnsi="Georgia" w:cs="Arial"/>
          <w:szCs w:val="24"/>
        </w:rPr>
        <w:t>A</w:t>
      </w:r>
      <w:r w:rsidRPr="00D84106">
        <w:rPr>
          <w:rFonts w:ascii="Georgia" w:hAnsi="Georgia" w:cs="Arial"/>
          <w:szCs w:val="24"/>
        </w:rPr>
        <w:t xml:space="preserve"> Comprehensive Nutrition Assessment with Progress Note, Completion of Section K of MDS, Care Area Triggers (CAT), Comprehensive Assessment (CAA) for Nutritional Status and Dehydration/Fluid Maintenance (if triggered)</w:t>
      </w:r>
      <w:r w:rsidR="005C1DDD">
        <w:rPr>
          <w:rFonts w:ascii="Georgia" w:hAnsi="Georgia" w:cs="Arial"/>
          <w:szCs w:val="24"/>
        </w:rPr>
        <w:t xml:space="preserve">, </w:t>
      </w:r>
      <w:r w:rsidRPr="00D84106">
        <w:rPr>
          <w:rFonts w:ascii="Georgia" w:hAnsi="Georgia" w:cs="Arial"/>
          <w:szCs w:val="24"/>
        </w:rPr>
        <w:t>and Care Plans will be completed according to RAI Manual.</w:t>
      </w:r>
    </w:p>
    <w:p w:rsidR="00D84106" w:rsidRPr="00D84106" w:rsidRDefault="00D84106" w:rsidP="00535FDE">
      <w:pPr>
        <w:pStyle w:val="ListParagraph"/>
        <w:widowControl w:val="0"/>
        <w:numPr>
          <w:ilvl w:val="0"/>
          <w:numId w:val="17"/>
        </w:numPr>
        <w:autoSpaceDE w:val="0"/>
        <w:autoSpaceDN w:val="0"/>
        <w:adjustRightInd w:val="0"/>
        <w:spacing w:after="100" w:line="240" w:lineRule="auto"/>
        <w:ind w:left="1080"/>
        <w:jc w:val="both"/>
        <w:rPr>
          <w:rFonts w:ascii="Georgia" w:hAnsi="Georgia" w:cs="Arial"/>
          <w:b/>
          <w:szCs w:val="24"/>
        </w:rPr>
      </w:pPr>
      <w:r w:rsidRPr="00D84106">
        <w:rPr>
          <w:rFonts w:ascii="Georgia" w:hAnsi="Georgia" w:cs="Arial"/>
          <w:szCs w:val="24"/>
        </w:rPr>
        <w:t xml:space="preserve">Detailed progress note titled “ANNUAL NUTRITION ASSESSMENT” or </w:t>
      </w:r>
      <w:r w:rsidR="00535FDE">
        <w:rPr>
          <w:rFonts w:ascii="Georgia" w:hAnsi="Georgia" w:cs="Arial"/>
          <w:szCs w:val="24"/>
        </w:rPr>
        <w:t>“</w:t>
      </w:r>
      <w:r w:rsidRPr="00D84106">
        <w:rPr>
          <w:rFonts w:ascii="Georgia" w:hAnsi="Georgia" w:cs="Arial"/>
          <w:szCs w:val="24"/>
        </w:rPr>
        <w:t xml:space="preserve">SIGNIFICANT CHANGE NUTRITION ASSESSMENT” may be used for an Annual or Significant Change Assessments unless a full nutrition assessment is warranted which is to be decided by the RD/RDN or DTR </w:t>
      </w:r>
    </w:p>
    <w:p w:rsidR="00D84106" w:rsidRPr="00D84106" w:rsidRDefault="00D84106" w:rsidP="00535FDE">
      <w:pPr>
        <w:pStyle w:val="ListParagraph"/>
        <w:numPr>
          <w:ilvl w:val="0"/>
          <w:numId w:val="17"/>
        </w:numPr>
        <w:spacing w:after="100" w:line="240" w:lineRule="auto"/>
        <w:ind w:left="1080"/>
        <w:rPr>
          <w:rFonts w:ascii="Georgia" w:hAnsi="Georgia" w:cs="Arial"/>
          <w:b/>
          <w:szCs w:val="24"/>
        </w:rPr>
      </w:pPr>
      <w:r w:rsidRPr="00D84106">
        <w:rPr>
          <w:rFonts w:ascii="Georgia" w:hAnsi="Georgia" w:cs="Arial"/>
          <w:szCs w:val="24"/>
        </w:rPr>
        <w:t>Care plan review with MNT reassessment and update care plan as needed. If goals are not met for the problems on the care plan, the approach or goal should be changed.  If not changed then the reasons for little or no progress should be documented.</w:t>
      </w:r>
    </w:p>
    <w:p w:rsidR="00D84106" w:rsidRPr="00D84106" w:rsidRDefault="00D84106" w:rsidP="00535FDE">
      <w:pPr>
        <w:pStyle w:val="ListParagraph"/>
        <w:numPr>
          <w:ilvl w:val="0"/>
          <w:numId w:val="19"/>
        </w:numPr>
        <w:spacing w:after="100" w:line="240" w:lineRule="auto"/>
        <w:ind w:left="1980"/>
        <w:rPr>
          <w:rFonts w:ascii="Georgia" w:hAnsi="Georgia" w:cs="Arial"/>
          <w:szCs w:val="24"/>
        </w:rPr>
      </w:pPr>
      <w:r w:rsidRPr="00D84106">
        <w:rPr>
          <w:rFonts w:ascii="Georgia" w:hAnsi="Georgia" w:cs="Arial"/>
          <w:szCs w:val="24"/>
        </w:rPr>
        <w:t>Note that the Comprehensive Nutrition Assessment may represent the CAA however RD/RDN and/or DTR must address the CAA’s by stating why the resident is at nutrition risk and if the care plan will or will not be developed on the CAA as well as signing the CAA.</w:t>
      </w:r>
    </w:p>
    <w:p w:rsidR="00D84106" w:rsidRPr="00D84106" w:rsidRDefault="00D84106" w:rsidP="00535FDE">
      <w:pPr>
        <w:pStyle w:val="ListParagraph"/>
        <w:numPr>
          <w:ilvl w:val="0"/>
          <w:numId w:val="16"/>
        </w:numPr>
        <w:spacing w:after="100" w:line="240" w:lineRule="auto"/>
        <w:ind w:left="360"/>
        <w:rPr>
          <w:rFonts w:ascii="Georgia" w:hAnsi="Georgia" w:cs="Arial"/>
          <w:szCs w:val="24"/>
        </w:rPr>
      </w:pPr>
      <w:r w:rsidRPr="00D84106">
        <w:rPr>
          <w:rFonts w:ascii="Georgia" w:hAnsi="Georgia" w:cs="Arial"/>
          <w:szCs w:val="24"/>
        </w:rPr>
        <w:t>Quarterly Assessments will be completed at least quarterly according to RAI manual.</w:t>
      </w:r>
    </w:p>
    <w:p w:rsidR="00D84106" w:rsidRPr="004A40A3" w:rsidRDefault="00D84106" w:rsidP="00535FDE">
      <w:pPr>
        <w:pStyle w:val="ListParagraph"/>
        <w:numPr>
          <w:ilvl w:val="0"/>
          <w:numId w:val="18"/>
        </w:numPr>
        <w:spacing w:after="100" w:line="240" w:lineRule="auto"/>
        <w:ind w:left="1080"/>
        <w:rPr>
          <w:rFonts w:ascii="Georgia" w:hAnsi="Georgia" w:cs="Arial"/>
          <w:b/>
          <w:szCs w:val="24"/>
        </w:rPr>
      </w:pPr>
      <w:r w:rsidRPr="004A40A3">
        <w:rPr>
          <w:rFonts w:ascii="Georgia" w:hAnsi="Georgia" w:cs="Arial"/>
          <w:szCs w:val="24"/>
        </w:rPr>
        <w:t>Complete section K on MDS along with detailed progress note titled “QUARTELRY NUTRITION ASSESSMENT” may be used for a Quarterly Assessment unless a full nutrition assessment is warranted which is to be decided by the RD/RDN or DTR. Care plan review with MNT reassessment and update care plan as needed. If goals are not met for the problems on the care plan, the approach or goal should be changed.  If not changed then the reasons for little or no progress should be documented.</w:t>
      </w:r>
    </w:p>
    <w:p w:rsidR="00D84106" w:rsidRPr="00D84106" w:rsidRDefault="00D84106" w:rsidP="00535FDE">
      <w:pPr>
        <w:pStyle w:val="ListParagraph"/>
        <w:numPr>
          <w:ilvl w:val="0"/>
          <w:numId w:val="16"/>
        </w:numPr>
        <w:spacing w:after="100" w:line="240" w:lineRule="auto"/>
        <w:ind w:left="360"/>
        <w:rPr>
          <w:rFonts w:ascii="Georgia" w:hAnsi="Georgia" w:cs="Arial"/>
          <w:szCs w:val="24"/>
        </w:rPr>
      </w:pPr>
      <w:r w:rsidRPr="00D84106">
        <w:rPr>
          <w:rFonts w:ascii="Georgia" w:hAnsi="Georgia" w:cs="Arial"/>
          <w:szCs w:val="24"/>
        </w:rPr>
        <w:t xml:space="preserve">MNT reassessments and/or progress note are to be completed with each Medicare assessment (i.e. 30, 60, 90 days). For non-Medicare individuals, reassessments or progress notes are completed a minimum of every quarter or more often as needed.  </w:t>
      </w:r>
    </w:p>
    <w:p w:rsidR="00D84106" w:rsidRPr="00D84106" w:rsidRDefault="00D84106" w:rsidP="00535FDE">
      <w:pPr>
        <w:pStyle w:val="ListParagraph"/>
        <w:numPr>
          <w:ilvl w:val="0"/>
          <w:numId w:val="16"/>
        </w:numPr>
        <w:spacing w:after="100" w:line="240" w:lineRule="auto"/>
        <w:ind w:left="360"/>
        <w:rPr>
          <w:rFonts w:ascii="Georgia" w:hAnsi="Georgia" w:cs="Arial"/>
          <w:szCs w:val="24"/>
        </w:rPr>
      </w:pPr>
      <w:r w:rsidRPr="00D84106">
        <w:rPr>
          <w:rFonts w:ascii="Georgia" w:hAnsi="Georgia" w:cs="Arial"/>
          <w:szCs w:val="24"/>
        </w:rPr>
        <w:t>Progress notes will be made on an as needed basis or when significant changes occur (changes in condition, diet order, food intake and weight,</w:t>
      </w:r>
      <w:r w:rsidR="004A40A3">
        <w:rPr>
          <w:rFonts w:ascii="Georgia" w:hAnsi="Georgia" w:cs="Arial"/>
          <w:szCs w:val="24"/>
        </w:rPr>
        <w:t xml:space="preserve"> and skin alterations</w:t>
      </w:r>
      <w:r w:rsidRPr="00D84106">
        <w:rPr>
          <w:rFonts w:ascii="Georgia" w:hAnsi="Georgia" w:cs="Arial"/>
          <w:szCs w:val="24"/>
        </w:rPr>
        <w:t xml:space="preserve"> etc</w:t>
      </w:r>
      <w:r w:rsidR="00535FDE">
        <w:rPr>
          <w:rFonts w:ascii="Georgia" w:hAnsi="Georgia" w:cs="Arial"/>
          <w:szCs w:val="24"/>
        </w:rPr>
        <w:t>.</w:t>
      </w:r>
      <w:r w:rsidRPr="00D84106">
        <w:rPr>
          <w:rFonts w:ascii="Georgia" w:hAnsi="Georgia" w:cs="Arial"/>
          <w:szCs w:val="24"/>
        </w:rPr>
        <w:t xml:space="preserve">) and may include, but not limited to, information from mealtime visitation, discussion with the individual and with care givers, review of the medical record, evaluation of the care plan and goals, weight status, food intake, physician order or condition changes, lab values, medication. </w:t>
      </w:r>
    </w:p>
    <w:p w:rsidR="007D240F" w:rsidRPr="00A57E29" w:rsidRDefault="007D240F" w:rsidP="00D84106">
      <w:pPr>
        <w:spacing w:after="100" w:line="240" w:lineRule="auto"/>
        <w:ind w:left="720"/>
      </w:pPr>
    </w:p>
    <w:sectPr w:rsidR="007D240F" w:rsidRPr="00A57E29" w:rsidSect="00535FDE">
      <w:headerReference w:type="default" r:id="rId7"/>
      <w:footerReference w:type="even" r:id="rId8"/>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583" w:rsidRDefault="00AE7583" w:rsidP="00004886">
      <w:pPr>
        <w:spacing w:after="0" w:line="240" w:lineRule="auto"/>
      </w:pPr>
      <w:r>
        <w:separator/>
      </w:r>
    </w:p>
  </w:endnote>
  <w:endnote w:type="continuationSeparator" w:id="0">
    <w:p w:rsidR="00AE7583" w:rsidRDefault="00AE7583"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FDE" w:rsidRDefault="00535FDE">
    <w:pPr>
      <w:pStyle w:val="Footer"/>
      <w:rPr>
        <w:rFonts w:ascii="Avenir" w:hAnsi="Avenir"/>
        <w:b/>
        <w:sz w:val="24"/>
        <w:szCs w:val="24"/>
      </w:rPr>
    </w:pPr>
    <w:r>
      <w:rPr>
        <w:rFonts w:ascii="Avenir" w:hAnsi="Avenir"/>
      </w:rPr>
      <w:tab/>
    </w:r>
    <w:r>
      <w:rPr>
        <w:rFonts w:ascii="Avenir" w:hAnsi="Avenir"/>
      </w:rPr>
      <w:tab/>
    </w: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p w:rsidR="00535FDE" w:rsidRDefault="00535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rsidR="006C1F75" w:rsidRDefault="006C1F75" w:rsidP="003A605C">
            <w:pPr>
              <w:pStyle w:val="Footer"/>
              <w:jc w:val="right"/>
              <w:rPr>
                <w:rFonts w:ascii="Avenir" w:hAnsi="Avenir"/>
              </w:rPr>
            </w:pPr>
          </w:p>
          <w:p w:rsidR="003A605C" w:rsidRPr="0091763A" w:rsidRDefault="003A605C" w:rsidP="003A605C">
            <w:pPr>
              <w:pStyle w:val="Footer"/>
              <w:jc w:val="right"/>
              <w:rPr>
                <w:rFonts w:ascii="Avenir" w:hAnsi="Avenir"/>
              </w:rPr>
            </w:pPr>
            <w:r w:rsidRPr="0091763A">
              <w:rPr>
                <w:rFonts w:ascii="Avenir" w:hAnsi="Avenir"/>
              </w:rPr>
              <w:t xml:space="preserve">Page </w:t>
            </w:r>
            <w:r w:rsidR="00226A30" w:rsidRPr="0091763A">
              <w:rPr>
                <w:rFonts w:ascii="Avenir" w:hAnsi="Avenir"/>
                <w:b/>
                <w:sz w:val="24"/>
                <w:szCs w:val="24"/>
              </w:rPr>
              <w:fldChar w:fldCharType="begin"/>
            </w:r>
            <w:r w:rsidRPr="0091763A">
              <w:rPr>
                <w:rFonts w:ascii="Avenir" w:hAnsi="Avenir"/>
                <w:b/>
              </w:rPr>
              <w:instrText xml:space="preserve"> PAGE </w:instrText>
            </w:r>
            <w:r w:rsidR="00226A30" w:rsidRPr="0091763A">
              <w:rPr>
                <w:rFonts w:ascii="Avenir" w:hAnsi="Avenir"/>
                <w:b/>
                <w:sz w:val="24"/>
                <w:szCs w:val="24"/>
              </w:rPr>
              <w:fldChar w:fldCharType="separate"/>
            </w:r>
            <w:r w:rsidR="00CE4ACA">
              <w:rPr>
                <w:rFonts w:ascii="Avenir" w:hAnsi="Avenir"/>
                <w:b/>
                <w:noProof/>
              </w:rPr>
              <w:t>3</w:t>
            </w:r>
            <w:r w:rsidR="00226A30" w:rsidRPr="0091763A">
              <w:rPr>
                <w:rFonts w:ascii="Avenir" w:hAnsi="Avenir"/>
                <w:b/>
                <w:sz w:val="24"/>
                <w:szCs w:val="24"/>
              </w:rPr>
              <w:fldChar w:fldCharType="end"/>
            </w:r>
            <w:r w:rsidRPr="0091763A">
              <w:rPr>
                <w:rFonts w:ascii="Avenir" w:hAnsi="Avenir"/>
              </w:rPr>
              <w:t xml:space="preserve"> of </w:t>
            </w:r>
            <w:r w:rsidR="00226A30" w:rsidRPr="0091763A">
              <w:rPr>
                <w:rFonts w:ascii="Avenir" w:hAnsi="Avenir"/>
                <w:b/>
                <w:sz w:val="24"/>
                <w:szCs w:val="24"/>
              </w:rPr>
              <w:fldChar w:fldCharType="begin"/>
            </w:r>
            <w:r w:rsidRPr="0091763A">
              <w:rPr>
                <w:rFonts w:ascii="Avenir" w:hAnsi="Avenir"/>
                <w:b/>
              </w:rPr>
              <w:instrText xml:space="preserve"> NUMPAGES  </w:instrText>
            </w:r>
            <w:r w:rsidR="00226A30" w:rsidRPr="0091763A">
              <w:rPr>
                <w:rFonts w:ascii="Avenir" w:hAnsi="Avenir"/>
                <w:b/>
                <w:sz w:val="24"/>
                <w:szCs w:val="24"/>
              </w:rPr>
              <w:fldChar w:fldCharType="separate"/>
            </w:r>
            <w:r w:rsidR="00CE4ACA">
              <w:rPr>
                <w:rFonts w:ascii="Avenir" w:hAnsi="Avenir"/>
                <w:b/>
                <w:noProof/>
              </w:rPr>
              <w:t>3</w:t>
            </w:r>
            <w:r w:rsidR="00226A30" w:rsidRPr="0091763A">
              <w:rPr>
                <w:rFonts w:ascii="Avenir" w:hAnsi="Avenir"/>
                <w:b/>
                <w:sz w:val="24"/>
                <w:szCs w:val="24"/>
              </w:rPr>
              <w:fldChar w:fldCharType="end"/>
            </w:r>
          </w:p>
        </w:sdtContent>
      </w:sdt>
    </w:sdtContent>
  </w:sdt>
  <w:p w:rsidR="003A605C" w:rsidRDefault="003A6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583" w:rsidRDefault="00AE7583" w:rsidP="00004886">
      <w:pPr>
        <w:spacing w:after="0" w:line="240" w:lineRule="auto"/>
      </w:pPr>
      <w:r>
        <w:separator/>
      </w:r>
    </w:p>
  </w:footnote>
  <w:footnote w:type="continuationSeparator" w:id="0">
    <w:p w:rsidR="00AE7583" w:rsidRDefault="00AE7583"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05C" w:rsidRDefault="00094CD8" w:rsidP="00004886">
    <w:pPr>
      <w:pStyle w:val="Header"/>
      <w:ind w:left="-720"/>
    </w:pPr>
    <w:r>
      <w:rPr>
        <w:noProof/>
      </w:rPr>
      <mc:AlternateContent>
        <mc:Choice Requires="wps">
          <w:drawing>
            <wp:anchor distT="0" distB="0" distL="114300" distR="114300" simplePos="0" relativeHeight="251675648" behindDoc="0" locked="0" layoutInCell="1" allowOverlap="1" wp14:anchorId="1B383AC7" wp14:editId="5733A75A">
              <wp:simplePos x="0" y="0"/>
              <wp:positionH relativeFrom="column">
                <wp:posOffset>3409950</wp:posOffset>
              </wp:positionH>
              <wp:positionV relativeFrom="paragraph">
                <wp:posOffset>87630</wp:posOffset>
              </wp:positionV>
              <wp:extent cx="2879090" cy="537845"/>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3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B383AC7"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42.3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" stroked="f">
              <v:textbox style="mso-fit-shape-to-text:t">
                <w:txbxContent>
                  <w:p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v:textbox>
            </v:shape>
          </w:pict>
        </mc:Fallback>
      </mc:AlternateContent>
    </w:r>
    <w:r w:rsidR="003A605C">
      <w:t xml:space="preserve"> </w:t>
    </w:r>
    <w:r w:rsidR="00291140">
      <w:rPr>
        <w:noProof/>
      </w:rPr>
      <w:drawing>
        <wp:inline distT="0" distB="0" distL="0" distR="0" wp14:anchorId="73A81756" wp14:editId="129430D0">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117"/>
      <w:gridCol w:w="3116"/>
    </w:tblGrid>
    <w:tr w:rsidR="00535FDE" w:rsidRPr="00004886" w:rsidTr="00535FDE">
      <w:trPr>
        <w:trHeight w:val="432"/>
      </w:trPr>
      <w:tc>
        <w:tcPr>
          <w:tcW w:w="9350" w:type="dxa"/>
          <w:gridSpan w:val="3"/>
          <w:shd w:val="clear" w:color="auto" w:fill="D9D9D9" w:themeFill="background1" w:themeFillShade="D9"/>
          <w:vAlign w:val="center"/>
        </w:tcPr>
        <w:p w:rsidR="00535FDE" w:rsidRPr="0091763A" w:rsidRDefault="00535FDE" w:rsidP="00535FDE">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535FDE" w:rsidRPr="00004886" w:rsidTr="00535FDE">
      <w:trPr>
        <w:trHeight w:val="432"/>
      </w:trPr>
      <w:tc>
        <w:tcPr>
          <w:tcW w:w="9350" w:type="dxa"/>
          <w:gridSpan w:val="3"/>
          <w:vAlign w:val="center"/>
        </w:tcPr>
        <w:p w:rsidR="00535FDE" w:rsidRPr="00C00CAC" w:rsidRDefault="00535FDE" w:rsidP="00535FDE">
          <w:pPr>
            <w:pStyle w:val="Heading1"/>
            <w:rPr>
              <w:rFonts w:ascii="Georgia" w:eastAsiaTheme="minorHAnsi" w:hAnsi="Georgia" w:cstheme="minorBidi"/>
              <w:sz w:val="22"/>
            </w:rPr>
          </w:pPr>
          <w:r w:rsidRPr="00C00CAC">
            <w:rPr>
              <w:rFonts w:ascii="Georgia" w:eastAsiaTheme="minorHAnsi" w:hAnsi="Georgia" w:cstheme="minorBidi"/>
              <w:sz w:val="22"/>
            </w:rPr>
            <w:t>Medical Nutrition Therapy Documentation Policy</w:t>
          </w:r>
        </w:p>
      </w:tc>
    </w:tr>
    <w:tr w:rsidR="00017F74" w:rsidRPr="00004886" w:rsidTr="00535FDE">
      <w:tc>
        <w:tcPr>
          <w:tcW w:w="3117" w:type="dxa"/>
          <w:shd w:val="clear" w:color="auto" w:fill="D9D9D9" w:themeFill="background1" w:themeFillShade="D9"/>
        </w:tcPr>
        <w:p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7" w:type="dxa"/>
          <w:shd w:val="clear" w:color="auto" w:fill="D9D9D9" w:themeFill="background1" w:themeFillShade="D9"/>
          <w:tcMar>
            <w:top w:w="115" w:type="dxa"/>
            <w:left w:w="115" w:type="dxa"/>
            <w:bottom w:w="115" w:type="dxa"/>
            <w:right w:w="115" w:type="dxa"/>
          </w:tcMar>
        </w:tcPr>
        <w:p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6" w:type="dxa"/>
          <w:shd w:val="clear" w:color="auto" w:fill="D9D9D9" w:themeFill="background1" w:themeFillShade="D9"/>
        </w:tcPr>
        <w:p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rsidTr="00535FDE">
      <w:tc>
        <w:tcPr>
          <w:tcW w:w="3117" w:type="dxa"/>
        </w:tcPr>
        <w:p w:rsidR="00017F74" w:rsidRPr="00383057" w:rsidRDefault="00D84106" w:rsidP="00D755F0">
          <w:pPr>
            <w:spacing w:after="0" w:line="240" w:lineRule="auto"/>
            <w:rPr>
              <w:rFonts w:ascii="Georgia" w:eastAsiaTheme="minorHAnsi" w:hAnsi="Georgia" w:cstheme="minorBidi"/>
            </w:rPr>
          </w:pPr>
          <w:r>
            <w:rPr>
              <w:rFonts w:ascii="Georgia" w:eastAsiaTheme="minorHAnsi" w:hAnsi="Georgia" w:cstheme="minorBidi"/>
            </w:rPr>
            <w:t>12/15</w:t>
          </w:r>
          <w:r w:rsidR="00C00CAC">
            <w:rPr>
              <w:rFonts w:ascii="Georgia" w:eastAsiaTheme="minorHAnsi" w:hAnsi="Georgia" w:cstheme="minorBidi"/>
            </w:rPr>
            <w:t>/2015</w:t>
          </w:r>
        </w:p>
      </w:tc>
      <w:tc>
        <w:tcPr>
          <w:tcW w:w="3117" w:type="dxa"/>
          <w:tcMar>
            <w:top w:w="115" w:type="dxa"/>
            <w:left w:w="115" w:type="dxa"/>
            <w:bottom w:w="115" w:type="dxa"/>
            <w:right w:w="115" w:type="dxa"/>
          </w:tcMar>
        </w:tcPr>
        <w:p w:rsidR="00017F74" w:rsidRPr="00383057" w:rsidRDefault="004A40A3" w:rsidP="004C4532">
          <w:pPr>
            <w:pStyle w:val="Header"/>
            <w:spacing w:after="0"/>
            <w:rPr>
              <w:rFonts w:ascii="Georgia" w:eastAsiaTheme="minorHAnsi" w:hAnsi="Georgia" w:cstheme="minorBidi"/>
            </w:rPr>
          </w:pPr>
          <w:r>
            <w:rPr>
              <w:rFonts w:ascii="Georgia" w:eastAsiaTheme="minorHAnsi" w:hAnsi="Georgia" w:cstheme="minorBidi"/>
            </w:rPr>
            <w:t>05/20/</w:t>
          </w:r>
          <w:r w:rsidR="00B35126">
            <w:rPr>
              <w:rFonts w:ascii="Georgia" w:eastAsiaTheme="minorHAnsi" w:hAnsi="Georgia" w:cstheme="minorBidi"/>
            </w:rPr>
            <w:t>20</w:t>
          </w:r>
          <w:r>
            <w:rPr>
              <w:rFonts w:ascii="Georgia" w:eastAsiaTheme="minorHAnsi" w:hAnsi="Georgia" w:cstheme="minorBidi"/>
            </w:rPr>
            <w:t>22</w:t>
          </w:r>
        </w:p>
      </w:tc>
      <w:tc>
        <w:tcPr>
          <w:tcW w:w="3116" w:type="dxa"/>
        </w:tcPr>
        <w:p w:rsidR="00017F74" w:rsidRPr="00383057" w:rsidRDefault="004A40A3" w:rsidP="00D755F0">
          <w:pPr>
            <w:spacing w:after="0" w:line="240" w:lineRule="auto"/>
            <w:rPr>
              <w:rFonts w:ascii="Georgia" w:eastAsiaTheme="minorHAnsi" w:hAnsi="Georgia" w:cstheme="minorBidi"/>
            </w:rPr>
          </w:pPr>
          <w:r>
            <w:rPr>
              <w:rFonts w:ascii="Georgia" w:eastAsiaTheme="minorHAnsi" w:hAnsi="Georgia" w:cstheme="minorBidi"/>
            </w:rPr>
            <w:t>05/</w:t>
          </w:r>
          <w:r w:rsidR="00B35126">
            <w:rPr>
              <w:rFonts w:ascii="Georgia" w:eastAsiaTheme="minorHAnsi" w:hAnsi="Georgia" w:cstheme="minorBidi"/>
            </w:rPr>
            <w:t>20/</w:t>
          </w:r>
          <w:r w:rsidR="00C00CAC">
            <w:rPr>
              <w:rFonts w:ascii="Georgia" w:eastAsiaTheme="minorHAnsi" w:hAnsi="Georgia" w:cstheme="minorBidi"/>
            </w:rPr>
            <w:t>202</w:t>
          </w:r>
          <w:r w:rsidR="007F4807">
            <w:rPr>
              <w:rFonts w:ascii="Georgia" w:eastAsiaTheme="minorHAnsi" w:hAnsi="Georgia" w:cstheme="minorBidi"/>
            </w:rPr>
            <w:t>5</w:t>
          </w:r>
        </w:p>
      </w:tc>
    </w:tr>
    <w:tr w:rsidR="00535FDE" w:rsidRPr="00004886" w:rsidTr="00535FDE">
      <w:trPr>
        <w:trHeight w:val="432"/>
      </w:trPr>
      <w:tc>
        <w:tcPr>
          <w:tcW w:w="9350" w:type="dxa"/>
          <w:gridSpan w:val="3"/>
          <w:shd w:val="clear" w:color="auto" w:fill="D9D9D9" w:themeFill="background1" w:themeFillShade="D9"/>
          <w:vAlign w:val="center"/>
        </w:tcPr>
        <w:p w:rsidR="00535FDE" w:rsidRPr="0091763A" w:rsidRDefault="00535FDE" w:rsidP="00535FDE">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535FDE" w:rsidRPr="00004886" w:rsidTr="00535FDE">
      <w:trPr>
        <w:trHeight w:val="576"/>
      </w:trPr>
      <w:tc>
        <w:tcPr>
          <w:tcW w:w="9350" w:type="dxa"/>
          <w:gridSpan w:val="3"/>
          <w:vAlign w:val="center"/>
        </w:tcPr>
        <w:p w:rsidR="00535FDE" w:rsidRPr="00383057" w:rsidRDefault="00535FDE" w:rsidP="00535FDE">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017F74" w:rsidRPr="00004886" w:rsidTr="00535FDE">
      <w:tc>
        <w:tcPr>
          <w:tcW w:w="9350" w:type="dxa"/>
          <w:gridSpan w:val="3"/>
          <w:shd w:val="clear" w:color="auto" w:fill="D9D9D9" w:themeFill="background1" w:themeFillShade="D9"/>
          <w:tcMar>
            <w:top w:w="115" w:type="dxa"/>
            <w:left w:w="115" w:type="dxa"/>
            <w:bottom w:w="115" w:type="dxa"/>
            <w:right w:w="115" w:type="dxa"/>
          </w:tcMar>
        </w:tcPr>
        <w:p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rsidTr="00535FDE">
      <w:tc>
        <w:tcPr>
          <w:tcW w:w="9350" w:type="dxa"/>
          <w:gridSpan w:val="3"/>
          <w:shd w:val="clear" w:color="auto" w:fill="auto"/>
          <w:tcMar>
            <w:top w:w="115" w:type="dxa"/>
            <w:left w:w="115" w:type="dxa"/>
            <w:bottom w:w="115" w:type="dxa"/>
            <w:right w:w="115" w:type="dxa"/>
          </w:tcMar>
        </w:tcPr>
        <w:p w:rsidR="00017F74" w:rsidRPr="00383057" w:rsidRDefault="00017F74" w:rsidP="00D755F0">
          <w:pPr>
            <w:spacing w:after="0" w:line="240" w:lineRule="auto"/>
            <w:rPr>
              <w:rFonts w:ascii="Georgia" w:eastAsiaTheme="minorHAnsi" w:hAnsi="Georgia" w:cstheme="minorBidi"/>
            </w:rPr>
          </w:pPr>
        </w:p>
      </w:tc>
    </w:tr>
  </w:tbl>
  <w:p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bullet="t">
        <v:imagedata r:id="rId1" o:title="BD21306_"/>
      </v:shape>
    </w:pict>
  </w:numPicBullet>
  <w:abstractNum w:abstractNumId="0" w15:restartNumberingAfterBreak="0">
    <w:nsid w:val="00EC1CB0"/>
    <w:multiLevelType w:val="hybridMultilevel"/>
    <w:tmpl w:val="9FF4F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87CF2"/>
    <w:multiLevelType w:val="hybridMultilevel"/>
    <w:tmpl w:val="349EE81C"/>
    <w:lvl w:ilvl="0" w:tplc="9760CA7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2E7708"/>
    <w:multiLevelType w:val="hybridMultilevel"/>
    <w:tmpl w:val="A11E70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9F11BA2"/>
    <w:multiLevelType w:val="hybridMultilevel"/>
    <w:tmpl w:val="7A9A0B5C"/>
    <w:lvl w:ilvl="0" w:tplc="F2EC0FC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1B5949"/>
    <w:multiLevelType w:val="hybridMultilevel"/>
    <w:tmpl w:val="6D3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2766A"/>
    <w:multiLevelType w:val="hybridMultilevel"/>
    <w:tmpl w:val="3F18C96E"/>
    <w:lvl w:ilvl="0" w:tplc="92DA217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B5182F"/>
    <w:multiLevelType w:val="hybridMultilevel"/>
    <w:tmpl w:val="DE5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296A90"/>
    <w:multiLevelType w:val="hybridMultilevel"/>
    <w:tmpl w:val="43186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6637C15"/>
    <w:multiLevelType w:val="hybridMultilevel"/>
    <w:tmpl w:val="C7661C1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5235BC1"/>
    <w:multiLevelType w:val="hybridMultilevel"/>
    <w:tmpl w:val="7610CA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5A41C3E"/>
    <w:multiLevelType w:val="hybridMultilevel"/>
    <w:tmpl w:val="E88C00E8"/>
    <w:lvl w:ilvl="0" w:tplc="3D58CD6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8943643"/>
    <w:multiLevelType w:val="singleLevel"/>
    <w:tmpl w:val="B19E6AA8"/>
    <w:lvl w:ilvl="0">
      <w:start w:val="1"/>
      <w:numFmt w:val="upperLetter"/>
      <w:lvlText w:val="%1."/>
      <w:lvlJc w:val="left"/>
      <w:pPr>
        <w:tabs>
          <w:tab w:val="num" w:pos="1080"/>
        </w:tabs>
        <w:ind w:left="1080" w:hanging="360"/>
      </w:pPr>
      <w:rPr>
        <w:rFonts w:hint="default"/>
      </w:rPr>
    </w:lvl>
  </w:abstractNum>
  <w:abstractNum w:abstractNumId="16" w15:restartNumberingAfterBreak="0">
    <w:nsid w:val="68986C6B"/>
    <w:multiLevelType w:val="hybridMultilevel"/>
    <w:tmpl w:val="C7661C1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D656DB7"/>
    <w:multiLevelType w:val="hybridMultilevel"/>
    <w:tmpl w:val="5008D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8"/>
  </w:num>
  <w:num w:numId="4">
    <w:abstractNumId w:val="13"/>
  </w:num>
  <w:num w:numId="5">
    <w:abstractNumId w:val="5"/>
  </w:num>
  <w:num w:numId="6">
    <w:abstractNumId w:val="18"/>
  </w:num>
  <w:num w:numId="7">
    <w:abstractNumId w:val="1"/>
  </w:num>
  <w:num w:numId="8">
    <w:abstractNumId w:val="15"/>
  </w:num>
  <w:num w:numId="9">
    <w:abstractNumId w:val="3"/>
  </w:num>
  <w:num w:numId="10">
    <w:abstractNumId w:val="10"/>
  </w:num>
  <w:num w:numId="11">
    <w:abstractNumId w:val="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4"/>
  </w:num>
  <w:num w:numId="15">
    <w:abstractNumId w:val="16"/>
  </w:num>
  <w:num w:numId="16">
    <w:abstractNumId w:val="9"/>
  </w:num>
  <w:num w:numId="17">
    <w:abstractNumId w:val="6"/>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7F74"/>
    <w:rsid w:val="00070BDF"/>
    <w:rsid w:val="00094CD8"/>
    <w:rsid w:val="000C2C35"/>
    <w:rsid w:val="00203616"/>
    <w:rsid w:val="002174C0"/>
    <w:rsid w:val="00226A30"/>
    <w:rsid w:val="00291140"/>
    <w:rsid w:val="002E3DAF"/>
    <w:rsid w:val="00366B62"/>
    <w:rsid w:val="00383057"/>
    <w:rsid w:val="003A605C"/>
    <w:rsid w:val="003D1A88"/>
    <w:rsid w:val="00437E00"/>
    <w:rsid w:val="00496194"/>
    <w:rsid w:val="004A40A3"/>
    <w:rsid w:val="004C4532"/>
    <w:rsid w:val="004F18AD"/>
    <w:rsid w:val="004F7E1E"/>
    <w:rsid w:val="00535FDE"/>
    <w:rsid w:val="005C1DDD"/>
    <w:rsid w:val="006318B2"/>
    <w:rsid w:val="00636251"/>
    <w:rsid w:val="0064513A"/>
    <w:rsid w:val="006650E8"/>
    <w:rsid w:val="006772EC"/>
    <w:rsid w:val="006C1F75"/>
    <w:rsid w:val="00721119"/>
    <w:rsid w:val="007D240F"/>
    <w:rsid w:val="007D3C3F"/>
    <w:rsid w:val="007F4807"/>
    <w:rsid w:val="00806F6F"/>
    <w:rsid w:val="00857EA6"/>
    <w:rsid w:val="008870D8"/>
    <w:rsid w:val="008A1C39"/>
    <w:rsid w:val="008F49D4"/>
    <w:rsid w:val="00914055"/>
    <w:rsid w:val="0091763A"/>
    <w:rsid w:val="009342A6"/>
    <w:rsid w:val="00A274E4"/>
    <w:rsid w:val="00A312BB"/>
    <w:rsid w:val="00A57E29"/>
    <w:rsid w:val="00AE71B9"/>
    <w:rsid w:val="00AE7583"/>
    <w:rsid w:val="00B34F9C"/>
    <w:rsid w:val="00B35126"/>
    <w:rsid w:val="00B40E9A"/>
    <w:rsid w:val="00BA51C0"/>
    <w:rsid w:val="00C00CAC"/>
    <w:rsid w:val="00C70850"/>
    <w:rsid w:val="00CC3BEE"/>
    <w:rsid w:val="00CE4ACA"/>
    <w:rsid w:val="00D84106"/>
    <w:rsid w:val="00DD17C5"/>
    <w:rsid w:val="00E313F8"/>
    <w:rsid w:val="00E547EA"/>
    <w:rsid w:val="00E810E1"/>
    <w:rsid w:val="00E869DC"/>
    <w:rsid w:val="00ED07C7"/>
    <w:rsid w:val="00F107CD"/>
    <w:rsid w:val="00F53FEA"/>
    <w:rsid w:val="00FE2300"/>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54EF6"/>
  <w15:docId w15:val="{3066FA72-58F6-42FA-BC70-BEE1C6FA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3D1A88"/>
    <w:pPr>
      <w:keepNext/>
      <w:spacing w:after="0" w:line="240" w:lineRule="auto"/>
      <w:outlineLvl w:val="0"/>
    </w:pPr>
    <w:rPr>
      <w:rFonts w:ascii="Arial" w:eastAsia="Times New Roman" w:hAnsi="Arial"/>
      <w:sz w:val="24"/>
      <w:szCs w:val="20"/>
    </w:rPr>
  </w:style>
  <w:style w:type="paragraph" w:styleId="Heading2">
    <w:name w:val="heading 2"/>
    <w:basedOn w:val="Normal"/>
    <w:next w:val="Normal"/>
    <w:link w:val="Heading2Char"/>
    <w:uiPriority w:val="9"/>
    <w:semiHidden/>
    <w:unhideWhenUsed/>
    <w:qFormat/>
    <w:rsid w:val="006C1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291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10"/>
      </w:numPr>
      <w:spacing w:after="0" w:line="240" w:lineRule="auto"/>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
    <w:semiHidden/>
    <w:rsid w:val="006C1F7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4</cp:revision>
  <cp:lastPrinted>2016-09-28T17:58:00Z</cp:lastPrinted>
  <dcterms:created xsi:type="dcterms:W3CDTF">2022-05-20T12:28:00Z</dcterms:created>
  <dcterms:modified xsi:type="dcterms:W3CDTF">2022-05-20T18:43:00Z</dcterms:modified>
</cp:coreProperties>
</file>