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E3" w:rsidRDefault="007D240F" w:rsidP="001C0E4B">
      <w:pPr>
        <w:spacing w:line="360" w:lineRule="auto"/>
        <w:ind w:left="0" w:firstLine="0"/>
        <w:rPr>
          <w:rFonts w:ascii="Avenir" w:hAnsi="Avenir" w:cs="Arial"/>
          <w:b/>
        </w:rPr>
      </w:pPr>
      <w:r w:rsidRPr="0091763A">
        <w:rPr>
          <w:rFonts w:ascii="Avenir" w:hAnsi="Avenir" w:cs="Arial"/>
          <w:b/>
        </w:rPr>
        <w:t>Policy</w:t>
      </w:r>
    </w:p>
    <w:p w:rsidR="009E625B" w:rsidRPr="009E625B" w:rsidRDefault="00DC23DD" w:rsidP="00DC23DD">
      <w:pPr>
        <w:ind w:left="0" w:firstLine="0"/>
        <w:rPr>
          <w:rFonts w:ascii="Georgia" w:hAnsi="Georgia" w:cs="Arial"/>
        </w:rPr>
      </w:pPr>
      <w:r w:rsidRPr="00DC23DD">
        <w:rPr>
          <w:rFonts w:ascii="Georgia" w:hAnsi="Georgia" w:cs="Arial"/>
        </w:rPr>
        <w:t>As mandated by CFR 418.60 Condition of Participation: Infection Control (Hospice) and CFR 484.70 Condition of Participation: Infection Prevention and Control (Home Health), all Ohio Living Home Health and Hospice employees, volunteers, and contracted employees, as defined by the regulations, will be fully vaccinated or have an approved medical or religious exemption.</w:t>
      </w:r>
    </w:p>
    <w:p w:rsidR="00DC23DD" w:rsidRDefault="00DC23DD" w:rsidP="001C0E4B">
      <w:pPr>
        <w:spacing w:line="360" w:lineRule="auto"/>
        <w:ind w:left="0" w:firstLine="0"/>
        <w:rPr>
          <w:rFonts w:ascii="Avenir" w:hAnsi="Avenir" w:cs="Arial"/>
          <w:b/>
        </w:rPr>
      </w:pPr>
    </w:p>
    <w:p w:rsidR="00DC23DD" w:rsidRDefault="00DC23DD" w:rsidP="001C0E4B">
      <w:pPr>
        <w:spacing w:line="360" w:lineRule="auto"/>
        <w:ind w:left="0" w:firstLine="0"/>
        <w:rPr>
          <w:rFonts w:ascii="Avenir" w:hAnsi="Avenir" w:cs="Arial"/>
          <w:b/>
        </w:rPr>
      </w:pPr>
      <w:r>
        <w:rPr>
          <w:rFonts w:ascii="Avenir" w:hAnsi="Avenir" w:cs="Arial"/>
          <w:b/>
        </w:rPr>
        <w:t>Definitions</w:t>
      </w:r>
    </w:p>
    <w:p w:rsidR="00DC23DD" w:rsidRDefault="00DC23DD" w:rsidP="00DC23DD">
      <w:pPr>
        <w:ind w:left="0" w:firstLine="0"/>
        <w:rPr>
          <w:rFonts w:ascii="Georgia" w:hAnsi="Georgia" w:cs="Arial"/>
        </w:rPr>
      </w:pPr>
      <w:r w:rsidRPr="00DC23DD">
        <w:rPr>
          <w:rFonts w:ascii="Georgia" w:hAnsi="Georgia" w:cs="Arial"/>
          <w:b/>
        </w:rPr>
        <w:t>Fully vaccinated</w:t>
      </w:r>
      <w:r w:rsidRPr="00DC23DD">
        <w:rPr>
          <w:rFonts w:ascii="Georgia" w:hAnsi="Georgia" w:cs="Arial"/>
        </w:rPr>
        <w:t xml:space="preserve"> – refers to staff who are two weeks or more from completion of their primary vaccination series for COVID-19.</w:t>
      </w:r>
    </w:p>
    <w:p w:rsidR="00DC23DD" w:rsidRPr="00DC23DD" w:rsidRDefault="00DC23DD" w:rsidP="00DC23DD">
      <w:pPr>
        <w:ind w:left="0" w:firstLine="0"/>
        <w:rPr>
          <w:rFonts w:ascii="Georgia" w:hAnsi="Georgia" w:cs="Arial"/>
        </w:rPr>
      </w:pPr>
    </w:p>
    <w:p w:rsidR="00DC23DD" w:rsidRDefault="00DC23DD" w:rsidP="00DC23DD">
      <w:pPr>
        <w:ind w:left="0" w:firstLine="0"/>
        <w:rPr>
          <w:rFonts w:ascii="Georgia" w:hAnsi="Georgia" w:cs="Arial"/>
        </w:rPr>
      </w:pPr>
      <w:r w:rsidRPr="00DC23DD">
        <w:rPr>
          <w:rFonts w:ascii="Georgia" w:hAnsi="Georgia" w:cs="Arial"/>
          <w:b/>
        </w:rPr>
        <w:t>Temporarily Delay</w:t>
      </w:r>
      <w:r w:rsidRPr="00DC23DD">
        <w:rPr>
          <w:rFonts w:ascii="Georgia" w:hAnsi="Georgia" w:cs="Arial"/>
        </w:rPr>
        <w:t>ed – refers to vaccination that must be temporarily postponed as recommended by the CDC, due to clinical precautions and considerations, including bu</w:t>
      </w:r>
      <w:r>
        <w:rPr>
          <w:rFonts w:ascii="Georgia" w:hAnsi="Georgia" w:cs="Arial"/>
        </w:rPr>
        <w:t>t</w:t>
      </w:r>
      <w:r w:rsidRPr="00DC23DD">
        <w:rPr>
          <w:rFonts w:ascii="Georgia" w:hAnsi="Georgia" w:cs="Arial"/>
        </w:rPr>
        <w:t xml:space="preserve"> not limited to, individuals secondary to COVID-19, or individuals who received monoclonal antibodies or convalescent plasma for COVID-19 treatment in the last 90 days.  An employee identified as temporarily delayed will not be tested for COVID-19 for 90 days following illness or treatment per CDC recommendations.</w:t>
      </w:r>
    </w:p>
    <w:p w:rsidR="00DC23DD" w:rsidRPr="00DC23DD" w:rsidRDefault="00DC23DD" w:rsidP="00DC23DD">
      <w:pPr>
        <w:ind w:left="0" w:firstLine="0"/>
        <w:rPr>
          <w:rFonts w:ascii="Georgia" w:hAnsi="Georgia" w:cs="Arial"/>
        </w:rPr>
      </w:pPr>
    </w:p>
    <w:p w:rsidR="007D240F" w:rsidRDefault="007D240F" w:rsidP="001C0E4B">
      <w:pPr>
        <w:spacing w:line="360" w:lineRule="auto"/>
        <w:ind w:left="0" w:firstLine="0"/>
        <w:rPr>
          <w:rFonts w:ascii="Avenir" w:hAnsi="Avenir" w:cs="Arial"/>
          <w:b/>
        </w:rPr>
      </w:pPr>
      <w:r w:rsidRPr="0091763A">
        <w:rPr>
          <w:rFonts w:ascii="Avenir" w:hAnsi="Avenir" w:cs="Arial"/>
          <w:b/>
        </w:rPr>
        <w:t>Procedure</w:t>
      </w:r>
    </w:p>
    <w:p w:rsidR="0010599D" w:rsidRDefault="0010599D" w:rsidP="0010599D">
      <w:pPr>
        <w:ind w:left="0" w:firstLine="0"/>
        <w:rPr>
          <w:rFonts w:ascii="Georgia" w:hAnsi="Georgia" w:cs="Arial"/>
        </w:rPr>
      </w:pPr>
      <w:r w:rsidRPr="0010599D">
        <w:rPr>
          <w:rFonts w:ascii="Georgia" w:hAnsi="Georgia" w:cs="Arial"/>
        </w:rPr>
        <w:t>All employed staff will comply with the policy by providing proof of having, at a minimum, a single-dose COVID-19 vaccine, or the first dose of a multi-dose COVID-19 series or have an approved exemption for medical or religious reasons.  All documents will be maintained by the Human Resources Department.</w:t>
      </w:r>
    </w:p>
    <w:p w:rsidR="0010599D" w:rsidRPr="0010599D" w:rsidRDefault="0010599D" w:rsidP="0010599D">
      <w:pPr>
        <w:ind w:left="0" w:firstLine="0"/>
        <w:rPr>
          <w:rFonts w:ascii="Georgia" w:hAnsi="Georgia" w:cs="Arial"/>
        </w:rPr>
      </w:pPr>
    </w:p>
    <w:p w:rsidR="0010599D" w:rsidRDefault="0010599D" w:rsidP="0010599D">
      <w:pPr>
        <w:ind w:left="0" w:firstLine="0"/>
        <w:rPr>
          <w:rFonts w:ascii="Georgia" w:hAnsi="Georgia" w:cs="Arial"/>
        </w:rPr>
      </w:pPr>
      <w:r w:rsidRPr="0010599D">
        <w:rPr>
          <w:rFonts w:ascii="Georgia" w:hAnsi="Georgia" w:cs="Arial"/>
        </w:rPr>
        <w:t>Hospice volunteers will comply with the policy by providing proof of having, at a minimum, a single-dose COVID-19 vaccine, or the first dose of a multi-dose COVID-19 series or have an approved exemption for medical or religious reasons.  All documents will be maintained securely by the Hospice Volunteer Coordinator.</w:t>
      </w:r>
      <w:bookmarkStart w:id="1" w:name="_GoBack"/>
      <w:bookmarkEnd w:id="1"/>
    </w:p>
    <w:p w:rsidR="0010599D" w:rsidRPr="0010599D" w:rsidRDefault="0010599D" w:rsidP="0010599D">
      <w:pPr>
        <w:ind w:left="0" w:firstLine="0"/>
        <w:rPr>
          <w:rFonts w:ascii="Georgia" w:hAnsi="Georgia" w:cs="Arial"/>
        </w:rPr>
      </w:pPr>
    </w:p>
    <w:p w:rsidR="0010599D" w:rsidRPr="0010599D" w:rsidRDefault="0010599D" w:rsidP="0010599D">
      <w:pPr>
        <w:ind w:left="0" w:firstLine="0"/>
        <w:rPr>
          <w:rFonts w:ascii="Georgia" w:hAnsi="Georgia" w:cs="Arial"/>
        </w:rPr>
      </w:pPr>
      <w:r w:rsidRPr="0010599D">
        <w:rPr>
          <w:rFonts w:ascii="Georgia" w:hAnsi="Georgia" w:cs="Arial"/>
        </w:rPr>
        <w:t>Any contracted staff working with Ohio Living Home Health and Hospice must comply with the conditions of participation as stated above.  If the contracted employee is selected for review during a survey, the contracted agency must provide the necessary documentation for that employee to the home health or hospice timely.</w:t>
      </w:r>
    </w:p>
    <w:p w:rsidR="0010599D" w:rsidRDefault="0010599D" w:rsidP="0010599D">
      <w:pPr>
        <w:ind w:left="0" w:firstLine="0"/>
        <w:rPr>
          <w:rFonts w:ascii="Georgia" w:hAnsi="Georgia" w:cs="Arial"/>
        </w:rPr>
      </w:pPr>
      <w:r w:rsidRPr="0010599D">
        <w:rPr>
          <w:rFonts w:ascii="Georgia" w:hAnsi="Georgia" w:cs="Arial"/>
        </w:rPr>
        <w:t>Each Ohio Living Home Health and Hospice office is required to maintain a compliant and secure tracking system to support the following:</w:t>
      </w:r>
    </w:p>
    <w:p w:rsidR="0010599D" w:rsidRDefault="0010599D" w:rsidP="0010599D">
      <w:pPr>
        <w:pStyle w:val="ListParagraph"/>
        <w:numPr>
          <w:ilvl w:val="0"/>
          <w:numId w:val="7"/>
        </w:numPr>
        <w:ind w:left="360" w:hanging="360"/>
        <w:rPr>
          <w:rFonts w:ascii="Georgia" w:hAnsi="Georgia" w:cs="Arial"/>
        </w:rPr>
      </w:pPr>
      <w:r w:rsidRPr="0010599D">
        <w:rPr>
          <w:rFonts w:ascii="Georgia" w:hAnsi="Georgia" w:cs="Arial"/>
        </w:rPr>
        <w:t>A list of fully vaccinated staff;</w:t>
      </w:r>
    </w:p>
    <w:p w:rsidR="0010599D" w:rsidRPr="0010599D" w:rsidRDefault="0010599D" w:rsidP="0010599D">
      <w:pPr>
        <w:pStyle w:val="ListParagraph"/>
        <w:numPr>
          <w:ilvl w:val="0"/>
          <w:numId w:val="7"/>
        </w:numPr>
        <w:ind w:left="360" w:hanging="360"/>
        <w:rPr>
          <w:rFonts w:ascii="Georgia" w:hAnsi="Georgia" w:cs="Arial"/>
        </w:rPr>
      </w:pPr>
      <w:r w:rsidRPr="0010599D">
        <w:rPr>
          <w:rFonts w:ascii="Georgia" w:hAnsi="Georgia" w:cs="Arial"/>
        </w:rPr>
        <w:t>A list of approved exempt staff;</w:t>
      </w:r>
    </w:p>
    <w:p w:rsidR="0010599D" w:rsidRPr="0010599D" w:rsidRDefault="0010599D" w:rsidP="0010599D">
      <w:pPr>
        <w:pStyle w:val="ListParagraph"/>
        <w:numPr>
          <w:ilvl w:val="0"/>
          <w:numId w:val="7"/>
        </w:numPr>
        <w:ind w:left="360" w:hanging="360"/>
        <w:rPr>
          <w:rFonts w:ascii="Georgia" w:hAnsi="Georgia" w:cs="Arial"/>
        </w:rPr>
      </w:pPr>
      <w:r w:rsidRPr="0010599D">
        <w:rPr>
          <w:rFonts w:ascii="Georgia" w:hAnsi="Georgia" w:cs="Arial"/>
        </w:rPr>
        <w:t>A list of those staff for whom the COVID-19 vaccination must be temporarily delayed; and</w:t>
      </w:r>
    </w:p>
    <w:p w:rsidR="0010599D" w:rsidRDefault="0010599D" w:rsidP="0010599D">
      <w:pPr>
        <w:pStyle w:val="ListParagraph"/>
        <w:numPr>
          <w:ilvl w:val="0"/>
          <w:numId w:val="7"/>
        </w:numPr>
        <w:ind w:left="360" w:hanging="360"/>
        <w:rPr>
          <w:rFonts w:ascii="Georgia" w:hAnsi="Georgia" w:cs="Arial"/>
        </w:rPr>
      </w:pPr>
      <w:r w:rsidRPr="0010599D">
        <w:rPr>
          <w:rFonts w:ascii="Georgia" w:hAnsi="Georgia" w:cs="Arial"/>
        </w:rPr>
        <w:t>A list of those staff members who have obtained their booster doses as recommended by the CDC.</w:t>
      </w:r>
    </w:p>
    <w:p w:rsidR="0010599D" w:rsidRDefault="0010599D" w:rsidP="0010599D">
      <w:pPr>
        <w:ind w:left="0" w:firstLine="0"/>
        <w:rPr>
          <w:rFonts w:ascii="Georgia" w:hAnsi="Georgia" w:cs="Arial"/>
        </w:rPr>
      </w:pPr>
    </w:p>
    <w:p w:rsidR="0010599D" w:rsidRDefault="0010599D" w:rsidP="0010599D">
      <w:pPr>
        <w:ind w:left="0" w:firstLine="0"/>
        <w:rPr>
          <w:rFonts w:ascii="Georgia" w:hAnsi="Georgia" w:cs="Arial"/>
        </w:rPr>
      </w:pPr>
      <w:r w:rsidRPr="0010599D">
        <w:rPr>
          <w:rFonts w:ascii="Georgia" w:hAnsi="Georgia" w:cs="Arial"/>
        </w:rPr>
        <w:t xml:space="preserve">Any staff members not fully vaccinated will be advised in writing of the additional precautions that they are required to follow in order to mitigate the transmission and the spread of COVID-19. This document will be signed by the staff member and placed in their employee personnel file.  </w:t>
      </w:r>
    </w:p>
    <w:p w:rsidR="0010599D" w:rsidRPr="0010599D" w:rsidRDefault="0010599D" w:rsidP="0010599D">
      <w:pPr>
        <w:ind w:left="0" w:firstLine="0"/>
        <w:rPr>
          <w:rFonts w:ascii="Georgia" w:hAnsi="Georgia" w:cs="Arial"/>
        </w:rPr>
      </w:pPr>
    </w:p>
    <w:p w:rsidR="0010599D" w:rsidRDefault="0010599D" w:rsidP="0010599D">
      <w:pPr>
        <w:ind w:left="0" w:firstLine="0"/>
        <w:rPr>
          <w:rFonts w:ascii="Georgia" w:hAnsi="Georgia" w:cs="Arial"/>
        </w:rPr>
      </w:pPr>
      <w:r w:rsidRPr="0010599D">
        <w:rPr>
          <w:rFonts w:ascii="Georgia" w:hAnsi="Georgia" w:cs="Arial"/>
        </w:rPr>
        <w:t>Ohio Living will identify a newly hired employee’s vaccination status and will:</w:t>
      </w:r>
    </w:p>
    <w:p w:rsidR="0010599D" w:rsidRPr="0010599D" w:rsidRDefault="0010599D" w:rsidP="0010599D">
      <w:pPr>
        <w:pStyle w:val="ListParagraph"/>
        <w:numPr>
          <w:ilvl w:val="0"/>
          <w:numId w:val="9"/>
        </w:numPr>
        <w:ind w:left="360"/>
        <w:rPr>
          <w:rFonts w:ascii="Georgia" w:hAnsi="Georgia" w:cs="Arial"/>
        </w:rPr>
      </w:pPr>
      <w:r w:rsidRPr="0010599D">
        <w:rPr>
          <w:rFonts w:ascii="Georgia" w:hAnsi="Georgia" w:cs="Arial"/>
        </w:rPr>
        <w:t>Obtain and provide the vaccination record to the Human Resources Department for secure filing in the employee’s personnel file or;</w:t>
      </w:r>
    </w:p>
    <w:p w:rsidR="0010599D" w:rsidRPr="0010599D" w:rsidRDefault="0010599D" w:rsidP="0010599D">
      <w:pPr>
        <w:pStyle w:val="ListParagraph"/>
        <w:numPr>
          <w:ilvl w:val="0"/>
          <w:numId w:val="9"/>
        </w:numPr>
        <w:ind w:left="360"/>
        <w:rPr>
          <w:rFonts w:ascii="Georgia" w:hAnsi="Georgia" w:cs="Arial"/>
        </w:rPr>
      </w:pPr>
      <w:r w:rsidRPr="0010599D">
        <w:rPr>
          <w:rFonts w:ascii="Georgia" w:hAnsi="Georgia" w:cs="Arial"/>
        </w:rPr>
        <w:t xml:space="preserve">Provide the employee with education on the benefits of vaccination, information on obtaining the COVID-19 vaccination and help facilitate timely vaccination; </w:t>
      </w:r>
    </w:p>
    <w:p w:rsidR="0010599D" w:rsidRPr="0010599D" w:rsidRDefault="0010599D" w:rsidP="0010599D">
      <w:pPr>
        <w:pStyle w:val="ListParagraph"/>
        <w:numPr>
          <w:ilvl w:val="0"/>
          <w:numId w:val="9"/>
        </w:numPr>
        <w:ind w:left="360"/>
        <w:rPr>
          <w:rFonts w:ascii="Georgia" w:hAnsi="Georgia" w:cs="Arial"/>
        </w:rPr>
      </w:pPr>
      <w:r w:rsidRPr="0010599D">
        <w:rPr>
          <w:rFonts w:ascii="Georgia" w:hAnsi="Georgia" w:cs="Arial"/>
        </w:rPr>
        <w:t>Explain the option of applying for an exemption based on medical or religious reasons and provide the new employee with the means to apply for an exemption</w:t>
      </w:r>
      <w:r w:rsidR="00460838">
        <w:rPr>
          <w:rFonts w:ascii="Georgia" w:hAnsi="Georgia" w:cs="Arial"/>
        </w:rPr>
        <w:t>;</w:t>
      </w:r>
    </w:p>
    <w:p w:rsidR="0010599D" w:rsidRPr="0010599D" w:rsidRDefault="0010599D" w:rsidP="0010599D">
      <w:pPr>
        <w:pStyle w:val="ListParagraph"/>
        <w:numPr>
          <w:ilvl w:val="0"/>
          <w:numId w:val="9"/>
        </w:numPr>
        <w:ind w:left="360"/>
        <w:rPr>
          <w:rFonts w:ascii="Georgia" w:hAnsi="Georgia" w:cs="Arial"/>
        </w:rPr>
      </w:pPr>
      <w:r w:rsidRPr="0010599D">
        <w:rPr>
          <w:rFonts w:ascii="Georgia" w:hAnsi="Georgia" w:cs="Arial"/>
        </w:rPr>
        <w:t>Any new employee identified as not fully vaccinated will be advised in writing of the additional precautions they are required to follow in order to mitigate the transmission of the spread of COVID-19. This document will be signed by the staff member and placed in the employee’s personnel file.</w:t>
      </w:r>
    </w:p>
    <w:p w:rsidR="0010599D" w:rsidRPr="0010599D" w:rsidRDefault="0010599D" w:rsidP="0010599D">
      <w:pPr>
        <w:pStyle w:val="ListParagraph"/>
        <w:numPr>
          <w:ilvl w:val="0"/>
          <w:numId w:val="9"/>
        </w:numPr>
        <w:ind w:left="360"/>
        <w:rPr>
          <w:rFonts w:ascii="Georgia" w:hAnsi="Georgia" w:cs="Arial"/>
        </w:rPr>
      </w:pPr>
      <w:r w:rsidRPr="0010599D">
        <w:rPr>
          <w:rFonts w:ascii="Georgia" w:hAnsi="Georgia" w:cs="Arial"/>
        </w:rPr>
        <w:t>A newly hired employee is only permitted to work</w:t>
      </w:r>
      <w:r w:rsidR="00EA5F14">
        <w:rPr>
          <w:rFonts w:ascii="Georgia" w:hAnsi="Georgia" w:cs="Arial"/>
        </w:rPr>
        <w:t>:</w:t>
      </w:r>
    </w:p>
    <w:p w:rsidR="0010599D" w:rsidRPr="0010599D" w:rsidRDefault="0010599D" w:rsidP="0010599D">
      <w:pPr>
        <w:pStyle w:val="ListParagraph"/>
        <w:numPr>
          <w:ilvl w:val="0"/>
          <w:numId w:val="11"/>
        </w:numPr>
        <w:rPr>
          <w:rFonts w:ascii="Georgia" w:hAnsi="Georgia" w:cs="Arial"/>
        </w:rPr>
      </w:pPr>
      <w:r w:rsidRPr="0010599D">
        <w:rPr>
          <w:rFonts w:ascii="Georgia" w:hAnsi="Georgia" w:cs="Arial"/>
        </w:rPr>
        <w:t xml:space="preserve">after receiving the first dose in their vaccination series and will continue to adhere to additional precautions until fully vaccinated; </w:t>
      </w:r>
    </w:p>
    <w:p w:rsidR="0010599D" w:rsidRPr="0010599D" w:rsidRDefault="0010599D" w:rsidP="0010599D">
      <w:pPr>
        <w:pStyle w:val="ListParagraph"/>
        <w:numPr>
          <w:ilvl w:val="0"/>
          <w:numId w:val="11"/>
        </w:numPr>
        <w:rPr>
          <w:rFonts w:ascii="Georgia" w:hAnsi="Georgia" w:cs="Arial"/>
        </w:rPr>
      </w:pPr>
      <w:r w:rsidRPr="0010599D">
        <w:rPr>
          <w:rFonts w:ascii="Georgia" w:hAnsi="Georgia" w:cs="Arial"/>
        </w:rPr>
        <w:t>or receiving an approved medical or religious exemption and after receiving an initial COVID test and testing negative; and will continue to adhere to additional precautions</w:t>
      </w:r>
      <w:r w:rsidR="00EA5F14">
        <w:rPr>
          <w:rFonts w:ascii="Georgia" w:hAnsi="Georgia" w:cs="Arial"/>
        </w:rPr>
        <w:t>;</w:t>
      </w:r>
      <w:r w:rsidRPr="0010599D">
        <w:rPr>
          <w:rFonts w:ascii="Georgia" w:hAnsi="Georgia" w:cs="Arial"/>
        </w:rPr>
        <w:t xml:space="preserve"> </w:t>
      </w:r>
    </w:p>
    <w:p w:rsidR="0010599D" w:rsidRPr="0010599D" w:rsidRDefault="0010599D" w:rsidP="0010599D">
      <w:pPr>
        <w:pStyle w:val="ListParagraph"/>
        <w:numPr>
          <w:ilvl w:val="0"/>
          <w:numId w:val="11"/>
        </w:numPr>
        <w:rPr>
          <w:rFonts w:ascii="Georgia" w:hAnsi="Georgia" w:cs="Arial"/>
        </w:rPr>
      </w:pPr>
      <w:r w:rsidRPr="0010599D">
        <w:rPr>
          <w:rFonts w:ascii="Georgia" w:hAnsi="Georgia" w:cs="Arial"/>
        </w:rPr>
        <w:t>identified as Temporarily Delayed and will continue to adhere to additional precautions until 90 days has passed.  At that time, the employee will either begin the vaccination series to become fully vaccinated or will secure an approved medical or religious exemption.</w:t>
      </w:r>
    </w:p>
    <w:p w:rsidR="0010599D" w:rsidRDefault="0010599D" w:rsidP="0010599D">
      <w:pPr>
        <w:ind w:left="0" w:firstLine="0"/>
        <w:rPr>
          <w:rFonts w:ascii="Georgia" w:hAnsi="Georgia" w:cs="Arial"/>
        </w:rPr>
      </w:pPr>
    </w:p>
    <w:p w:rsidR="0010599D" w:rsidRDefault="0010599D" w:rsidP="0010599D">
      <w:pPr>
        <w:ind w:left="0" w:firstLine="0"/>
        <w:rPr>
          <w:rFonts w:ascii="Georgia" w:hAnsi="Georgia" w:cs="Arial"/>
        </w:rPr>
      </w:pPr>
      <w:r w:rsidRPr="0010599D">
        <w:rPr>
          <w:rFonts w:ascii="Georgia" w:hAnsi="Georgia" w:cs="Arial"/>
        </w:rPr>
        <w:t>Exemption process – all requests for exemptions will be sent to the local Ohio Living Human Resources department.  The Human Resources Department will review and approve all exemption requests.</w:t>
      </w:r>
    </w:p>
    <w:p w:rsidR="0010599D" w:rsidRPr="0010599D" w:rsidRDefault="0010599D" w:rsidP="0010599D">
      <w:pPr>
        <w:ind w:left="0" w:firstLine="0"/>
        <w:rPr>
          <w:rFonts w:ascii="Georgia" w:hAnsi="Georgia" w:cs="Arial"/>
        </w:rPr>
      </w:pPr>
    </w:p>
    <w:p w:rsidR="0010599D" w:rsidRDefault="0010599D" w:rsidP="0010599D">
      <w:pPr>
        <w:ind w:left="0" w:firstLine="0"/>
        <w:rPr>
          <w:rFonts w:ascii="Georgia" w:hAnsi="Georgia" w:cs="Arial"/>
        </w:rPr>
      </w:pPr>
      <w:r w:rsidRPr="0010599D">
        <w:rPr>
          <w:rFonts w:ascii="Georgia" w:hAnsi="Georgia" w:cs="Arial"/>
        </w:rPr>
        <w:t>All vaccination records, approved exemption forms, and related documentation will be maintained by the Human Resources department in the employee’s personnel file.</w:t>
      </w:r>
    </w:p>
    <w:p w:rsidR="00FE7C74" w:rsidRPr="00A234E3" w:rsidRDefault="00FE7C74" w:rsidP="00A234E3">
      <w:pPr>
        <w:ind w:left="0" w:firstLine="0"/>
        <w:rPr>
          <w:rFonts w:ascii="Georgia" w:hAnsi="Georgia" w:cs="Arial"/>
        </w:rPr>
      </w:pPr>
    </w:p>
    <w:sectPr w:rsidR="00FE7C74" w:rsidRPr="00A234E3" w:rsidSect="00A01A8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1E5" w:rsidRDefault="00B911E5" w:rsidP="00004886">
      <w:r>
        <w:separator/>
      </w:r>
    </w:p>
  </w:endnote>
  <w:endnote w:type="continuationSeparator" w:id="0">
    <w:p w:rsidR="00B911E5" w:rsidRDefault="00B911E5"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259103937"/>
      <w:docPartObj>
        <w:docPartGallery w:val="Page Numbers (Top of Page)"/>
        <w:docPartUnique/>
      </w:docPartObj>
    </w:sdtPr>
    <w:sdtEndPr/>
    <w:sdtContent>
      <w:p w:rsidR="00D233DF" w:rsidRPr="00D233DF" w:rsidRDefault="00D233DF" w:rsidP="00D233DF">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3A605C" w:rsidRPr="00E027E6" w:rsidRDefault="003A605C" w:rsidP="00E027E6">
            <w:pPr>
              <w:pStyle w:val="Footer"/>
              <w:jc w:val="right"/>
              <w:rPr>
                <w:rFonts w:ascii="Avenir" w:hAnsi="Avenir"/>
              </w:rPr>
            </w:pPr>
            <w:r w:rsidRPr="0091763A">
              <w:rPr>
                <w:rFonts w:ascii="Avenir" w:hAnsi="Avenir"/>
              </w:rPr>
              <w:t xml:space="preserve">Page </w:t>
            </w:r>
            <w:r w:rsidR="007A4200" w:rsidRPr="0091763A">
              <w:rPr>
                <w:rFonts w:ascii="Avenir" w:hAnsi="Avenir"/>
                <w:b/>
                <w:sz w:val="24"/>
                <w:szCs w:val="24"/>
              </w:rPr>
              <w:fldChar w:fldCharType="begin"/>
            </w:r>
            <w:r w:rsidRPr="0091763A">
              <w:rPr>
                <w:rFonts w:ascii="Avenir" w:hAnsi="Avenir"/>
                <w:b/>
              </w:rPr>
              <w:instrText xml:space="preserve"> PAGE </w:instrText>
            </w:r>
            <w:r w:rsidR="007A4200" w:rsidRPr="0091763A">
              <w:rPr>
                <w:rFonts w:ascii="Avenir" w:hAnsi="Avenir"/>
                <w:b/>
                <w:sz w:val="24"/>
                <w:szCs w:val="24"/>
              </w:rPr>
              <w:fldChar w:fldCharType="separate"/>
            </w:r>
            <w:r w:rsidR="0007448A">
              <w:rPr>
                <w:rFonts w:ascii="Avenir" w:hAnsi="Avenir"/>
                <w:b/>
                <w:noProof/>
              </w:rPr>
              <w:t>1</w:t>
            </w:r>
            <w:r w:rsidR="007A4200" w:rsidRPr="0091763A">
              <w:rPr>
                <w:rFonts w:ascii="Avenir" w:hAnsi="Avenir"/>
                <w:b/>
                <w:sz w:val="24"/>
                <w:szCs w:val="24"/>
              </w:rPr>
              <w:fldChar w:fldCharType="end"/>
            </w:r>
            <w:r w:rsidRPr="0091763A">
              <w:rPr>
                <w:rFonts w:ascii="Avenir" w:hAnsi="Avenir"/>
              </w:rPr>
              <w:t xml:space="preserve"> of </w:t>
            </w:r>
            <w:r w:rsidR="007A4200" w:rsidRPr="0091763A">
              <w:rPr>
                <w:rFonts w:ascii="Avenir" w:hAnsi="Avenir"/>
                <w:b/>
                <w:sz w:val="24"/>
                <w:szCs w:val="24"/>
              </w:rPr>
              <w:fldChar w:fldCharType="begin"/>
            </w:r>
            <w:r w:rsidRPr="0091763A">
              <w:rPr>
                <w:rFonts w:ascii="Avenir" w:hAnsi="Avenir"/>
                <w:b/>
              </w:rPr>
              <w:instrText xml:space="preserve"> NUMPAGES  </w:instrText>
            </w:r>
            <w:r w:rsidR="007A4200" w:rsidRPr="0091763A">
              <w:rPr>
                <w:rFonts w:ascii="Avenir" w:hAnsi="Avenir"/>
                <w:b/>
                <w:sz w:val="24"/>
                <w:szCs w:val="24"/>
              </w:rPr>
              <w:fldChar w:fldCharType="separate"/>
            </w:r>
            <w:r w:rsidR="0007448A">
              <w:rPr>
                <w:rFonts w:ascii="Avenir" w:hAnsi="Avenir"/>
                <w:b/>
                <w:noProof/>
              </w:rPr>
              <w:t>1</w:t>
            </w:r>
            <w:r w:rsidR="007A4200"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1E5" w:rsidRDefault="00B911E5" w:rsidP="00004886">
      <w:bookmarkStart w:id="0" w:name="_Hlk139443171"/>
      <w:bookmarkEnd w:id="0"/>
      <w:r>
        <w:separator/>
      </w:r>
    </w:p>
  </w:footnote>
  <w:footnote w:type="continuationSeparator" w:id="0">
    <w:p w:rsidR="00B911E5" w:rsidRDefault="00B911E5"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C" w:rsidRDefault="00E027E6" w:rsidP="0024579D">
    <w:pPr>
      <w:pStyle w:val="Header"/>
      <w:ind w:left="0" w:firstLine="0"/>
    </w:pPr>
    <w:r>
      <w:rPr>
        <w:noProof/>
      </w:rPr>
      <mc:AlternateContent>
        <mc:Choice Requires="wps">
          <w:drawing>
            <wp:anchor distT="0" distB="0" distL="114300" distR="114300" simplePos="0" relativeHeight="251660288" behindDoc="0" locked="0" layoutInCell="1" allowOverlap="1" wp14:anchorId="5532E163" wp14:editId="1BFD7340">
              <wp:simplePos x="0" y="0"/>
              <wp:positionH relativeFrom="column">
                <wp:posOffset>2909570</wp:posOffset>
              </wp:positionH>
              <wp:positionV relativeFrom="paragraph">
                <wp:posOffset>165100</wp:posOffset>
              </wp:positionV>
              <wp:extent cx="3519418" cy="400050"/>
              <wp:effectExtent l="0" t="0" r="50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9418"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12F1" w:rsidRPr="002712F1" w:rsidRDefault="002712F1" w:rsidP="002712F1">
                          <w:pPr>
                            <w:spacing w:after="200" w:line="276" w:lineRule="auto"/>
                            <w:ind w:left="0" w:firstLine="0"/>
                            <w:jc w:val="right"/>
                            <w:rPr>
                              <w:rFonts w:ascii="Avenir" w:hAnsi="Avenir"/>
                              <w:sz w:val="32"/>
                              <w:szCs w:val="32"/>
                            </w:rPr>
                          </w:pPr>
                          <w:r w:rsidRPr="002712F1">
                            <w:rPr>
                              <w:rFonts w:ascii="Avenir" w:hAnsi="Avenir"/>
                              <w:sz w:val="32"/>
                              <w:szCs w:val="32"/>
                            </w:rPr>
                            <w:t xml:space="preserve">Home Health and Hospice </w:t>
                          </w:r>
                          <w:r w:rsidR="001F2D24">
                            <w:rPr>
                              <w:rFonts w:ascii="Avenir" w:hAnsi="Avenir"/>
                              <w:sz w:val="32"/>
                              <w:szCs w:val="32"/>
                            </w:rPr>
                            <w:t xml:space="preserve">Core </w:t>
                          </w:r>
                          <w:r w:rsidRPr="002712F1">
                            <w:rPr>
                              <w:rFonts w:ascii="Avenir" w:hAnsi="Avenir"/>
                              <w:sz w:val="32"/>
                              <w:szCs w:val="32"/>
                            </w:rPr>
                            <w:t>Policy</w:t>
                          </w:r>
                        </w:p>
                        <w:p w:rsidR="003A605C" w:rsidRPr="0091763A" w:rsidRDefault="003A605C" w:rsidP="00004886">
                          <w:pPr>
                            <w:jc w:val="right"/>
                            <w:rPr>
                              <w:rFonts w:ascii="Avenir" w:hAnsi="Avenir"/>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32E163" id="_x0000_t202" coordsize="21600,21600" o:spt="202" path="m,l,21600r21600,l21600,xe">
              <v:stroke joinstyle="miter"/>
              <v:path gradientshapeok="t" o:connecttype="rect"/>
            </v:shapetype>
            <v:shape id="Text Box 1" o:spid="_x0000_s1026" type="#_x0000_t202" style="position:absolute;margin-left:229.1pt;margin-top:13pt;width:277.1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" stroked="f">
              <v:textbox>
                <w:txbxContent>
                  <w:p w:rsidR="002712F1" w:rsidRPr="002712F1" w:rsidRDefault="002712F1" w:rsidP="002712F1">
                    <w:pPr>
                      <w:spacing w:after="200" w:line="276" w:lineRule="auto"/>
                      <w:ind w:left="0" w:firstLine="0"/>
                      <w:jc w:val="right"/>
                      <w:rPr>
                        <w:rFonts w:ascii="Avenir" w:hAnsi="Avenir"/>
                        <w:sz w:val="32"/>
                        <w:szCs w:val="32"/>
                      </w:rPr>
                    </w:pPr>
                    <w:r w:rsidRPr="002712F1">
                      <w:rPr>
                        <w:rFonts w:ascii="Avenir" w:hAnsi="Avenir"/>
                        <w:sz w:val="32"/>
                        <w:szCs w:val="32"/>
                      </w:rPr>
                      <w:t xml:space="preserve">Home Health and Hospice </w:t>
                    </w:r>
                    <w:r w:rsidR="001F2D24">
                      <w:rPr>
                        <w:rFonts w:ascii="Avenir" w:hAnsi="Avenir"/>
                        <w:sz w:val="32"/>
                        <w:szCs w:val="32"/>
                      </w:rPr>
                      <w:t xml:space="preserve">Core </w:t>
                    </w:r>
                    <w:r w:rsidRPr="002712F1">
                      <w:rPr>
                        <w:rFonts w:ascii="Avenir" w:hAnsi="Avenir"/>
                        <w:sz w:val="32"/>
                        <w:szCs w:val="32"/>
                      </w:rPr>
                      <w:t>Policy</w:t>
                    </w:r>
                  </w:p>
                  <w:p w:rsidR="003A605C" w:rsidRPr="0091763A" w:rsidRDefault="003A605C" w:rsidP="00004886">
                    <w:pPr>
                      <w:jc w:val="right"/>
                      <w:rPr>
                        <w:rFonts w:ascii="Avenir" w:hAnsi="Avenir"/>
                        <w:sz w:val="32"/>
                        <w:szCs w:val="32"/>
                      </w:rPr>
                    </w:pPr>
                  </w:p>
                </w:txbxContent>
              </v:textbox>
            </v:shape>
          </w:pict>
        </mc:Fallback>
      </mc:AlternateContent>
    </w:r>
    <w:r>
      <w:rPr>
        <w:noProof/>
      </w:rPr>
      <w:drawing>
        <wp:anchor distT="0" distB="0" distL="114300" distR="114300" simplePos="0" relativeHeight="251661312" behindDoc="0" locked="0" layoutInCell="1" allowOverlap="1" wp14:anchorId="3D73FC02">
          <wp:simplePos x="0" y="0"/>
          <wp:positionH relativeFrom="column">
            <wp:posOffset>-409575</wp:posOffset>
          </wp:positionH>
          <wp:positionV relativeFrom="paragraph">
            <wp:posOffset>23495</wp:posOffset>
          </wp:positionV>
          <wp:extent cx="2125229" cy="548640"/>
          <wp:effectExtent l="0" t="0" r="8890" b="3810"/>
          <wp:wrapThrough wrapText="bothSides">
            <wp:wrapPolygon edited="0">
              <wp:start x="0" y="0"/>
              <wp:lineTo x="0" y="21000"/>
              <wp:lineTo x="21497" y="21000"/>
              <wp:lineTo x="21497" y="0"/>
              <wp:lineTo x="0" y="0"/>
            </wp:wrapPolygon>
          </wp:wrapThrough>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extLst>
                      <a:ext uri="{28A0092B-C50C-407E-A947-70E740481C1C}">
                        <a14:useLocalDpi xmlns:a14="http://schemas.microsoft.com/office/drawing/2010/main" val="0"/>
                      </a:ext>
                    </a:extLst>
                  </a:blip>
                  <a:stretch>
                    <a:fillRect/>
                  </a:stretch>
                </pic:blipFill>
                <pic:spPr>
                  <a:xfrm>
                    <a:off x="0" y="0"/>
                    <a:ext cx="2125229" cy="548640"/>
                  </a:xfrm>
                  <a:prstGeom prst="rect">
                    <a:avLst/>
                  </a:prstGeom>
                </pic:spPr>
              </pic:pic>
            </a:graphicData>
          </a:graphic>
          <wp14:sizeRelH relativeFrom="page">
            <wp14:pctWidth>0</wp14:pctWidth>
          </wp14:sizeRelH>
          <wp14:sizeRelV relativeFrom="page">
            <wp14:pctHeight>0</wp14:pctHeight>
          </wp14:sizeRelV>
        </wp:anchor>
      </w:drawing>
    </w:r>
    <w:r w:rsidR="003A605C">
      <w:t xml:space="preserve"> </w:t>
    </w:r>
  </w:p>
  <w:p w:rsidR="001F2D24" w:rsidRDefault="001F2D24" w:rsidP="0024579D">
    <w:pPr>
      <w:pStyle w:val="Header"/>
      <w:ind w:left="0" w:firstLine="0"/>
    </w:pPr>
  </w:p>
  <w:p w:rsidR="00E027E6" w:rsidRDefault="00E027E6" w:rsidP="0024579D">
    <w:pPr>
      <w:pStyle w:val="Header"/>
      <w:ind w:left="0" w:firstLine="0"/>
    </w:pPr>
  </w:p>
  <w:p w:rsidR="00E027E6" w:rsidRDefault="00E027E6" w:rsidP="0024579D">
    <w:pPr>
      <w:pStyle w:val="Header"/>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111"/>
      <w:gridCol w:w="3132"/>
    </w:tblGrid>
    <w:tr w:rsidR="001C0E4B" w:rsidRPr="00004886" w:rsidTr="001C0E4B">
      <w:trPr>
        <w:trHeight w:val="432"/>
      </w:trPr>
      <w:tc>
        <w:tcPr>
          <w:tcW w:w="9350" w:type="dxa"/>
          <w:gridSpan w:val="3"/>
          <w:shd w:val="clear" w:color="auto" w:fill="D9D9D9" w:themeFill="background1" w:themeFillShade="D9"/>
          <w:vAlign w:val="center"/>
        </w:tcPr>
        <w:p w:rsidR="001C0E4B" w:rsidRPr="0091763A" w:rsidRDefault="001C0E4B" w:rsidP="001C0E4B">
          <w:pPr>
            <w:ind w:left="0" w:firstLine="0"/>
            <w:rPr>
              <w:rFonts w:ascii="Avenir" w:eastAsiaTheme="minorHAnsi" w:hAnsi="Avenir" w:cstheme="minorBidi"/>
              <w:b/>
            </w:rPr>
          </w:pPr>
          <w:r w:rsidRPr="0091763A">
            <w:rPr>
              <w:rFonts w:ascii="Avenir" w:eastAsiaTheme="minorHAnsi" w:hAnsi="Avenir" w:cstheme="minorBidi"/>
              <w:b/>
            </w:rPr>
            <w:t>Policy Name</w:t>
          </w:r>
        </w:p>
      </w:tc>
    </w:tr>
    <w:tr w:rsidR="001C0E4B" w:rsidRPr="00004886" w:rsidTr="001C0E4B">
      <w:trPr>
        <w:trHeight w:val="432"/>
      </w:trPr>
      <w:tc>
        <w:tcPr>
          <w:tcW w:w="9350" w:type="dxa"/>
          <w:gridSpan w:val="3"/>
          <w:vAlign w:val="center"/>
        </w:tcPr>
        <w:p w:rsidR="001C0E4B" w:rsidRPr="00383057" w:rsidRDefault="00514ADE" w:rsidP="001C0E4B">
          <w:pPr>
            <w:ind w:left="0" w:firstLine="0"/>
            <w:rPr>
              <w:rFonts w:ascii="Georgia" w:eastAsiaTheme="minorHAnsi" w:hAnsi="Georgia" w:cstheme="minorBidi"/>
            </w:rPr>
          </w:pPr>
          <w:r>
            <w:rPr>
              <w:rFonts w:ascii="Georgia" w:eastAsiaTheme="minorHAnsi" w:hAnsi="Georgia" w:cstheme="minorBidi"/>
            </w:rPr>
            <w:t>Mandated Vaccination against COVID-19</w:t>
          </w:r>
        </w:p>
      </w:tc>
    </w:tr>
    <w:tr w:rsidR="00017F74" w:rsidRPr="00004886" w:rsidTr="00A234E3">
      <w:tc>
        <w:tcPr>
          <w:tcW w:w="3107" w:type="dxa"/>
          <w:shd w:val="clear" w:color="auto" w:fill="D9D9D9" w:themeFill="background1" w:themeFillShade="D9"/>
        </w:tcPr>
        <w:p w:rsidR="00017F74" w:rsidRPr="0091763A" w:rsidRDefault="00017F74" w:rsidP="00077A80">
          <w:pPr>
            <w:ind w:left="360"/>
            <w:rPr>
              <w:rFonts w:ascii="Avenir" w:eastAsiaTheme="minorHAnsi" w:hAnsi="Avenir" w:cstheme="minorBidi"/>
              <w:b/>
            </w:rPr>
          </w:pPr>
          <w:r w:rsidRPr="0091763A">
            <w:rPr>
              <w:rFonts w:ascii="Avenir" w:eastAsiaTheme="minorHAnsi" w:hAnsi="Avenir" w:cstheme="minorBidi"/>
              <w:b/>
            </w:rPr>
            <w:t>Effective Date</w:t>
          </w:r>
        </w:p>
      </w:tc>
      <w:tc>
        <w:tcPr>
          <w:tcW w:w="3111" w:type="dxa"/>
          <w:shd w:val="clear" w:color="auto" w:fill="D9D9D9" w:themeFill="background1" w:themeFillShade="D9"/>
          <w:tcMar>
            <w:top w:w="115" w:type="dxa"/>
            <w:left w:w="115" w:type="dxa"/>
            <w:bottom w:w="115" w:type="dxa"/>
            <w:right w:w="115" w:type="dxa"/>
          </w:tcMar>
        </w:tcPr>
        <w:p w:rsidR="00017F74" w:rsidRPr="0091763A" w:rsidRDefault="00017F74" w:rsidP="00077A80">
          <w:pPr>
            <w:ind w:left="360"/>
            <w:rPr>
              <w:rFonts w:ascii="Avenir" w:eastAsiaTheme="minorHAnsi" w:hAnsi="Avenir" w:cstheme="minorBidi"/>
              <w:b/>
            </w:rPr>
          </w:pPr>
          <w:r w:rsidRPr="0091763A">
            <w:rPr>
              <w:rFonts w:ascii="Avenir" w:eastAsiaTheme="minorHAnsi" w:hAnsi="Avenir" w:cstheme="minorBidi"/>
              <w:b/>
            </w:rPr>
            <w:t>Revised Date</w:t>
          </w:r>
        </w:p>
      </w:tc>
      <w:tc>
        <w:tcPr>
          <w:tcW w:w="3132" w:type="dxa"/>
          <w:shd w:val="clear" w:color="auto" w:fill="D9D9D9" w:themeFill="background1" w:themeFillShade="D9"/>
        </w:tcPr>
        <w:p w:rsidR="00017F74" w:rsidRPr="0091763A" w:rsidRDefault="00E027E6" w:rsidP="00077A80">
          <w:pPr>
            <w:ind w:left="360"/>
            <w:rPr>
              <w:rFonts w:ascii="Avenir" w:eastAsiaTheme="minorHAnsi" w:hAnsi="Avenir" w:cstheme="minorBidi"/>
              <w:b/>
            </w:rPr>
          </w:pPr>
          <w:r>
            <w:rPr>
              <w:rFonts w:ascii="Avenir" w:eastAsiaTheme="minorHAnsi" w:hAnsi="Avenir" w:cstheme="minorBidi"/>
              <w:b/>
            </w:rPr>
            <w:t>Retirement Date</w:t>
          </w:r>
        </w:p>
      </w:tc>
    </w:tr>
    <w:tr w:rsidR="00017F74" w:rsidRPr="00004886" w:rsidTr="00A234E3">
      <w:tc>
        <w:tcPr>
          <w:tcW w:w="3107" w:type="dxa"/>
        </w:tcPr>
        <w:p w:rsidR="00017F74" w:rsidRPr="00461DA2" w:rsidRDefault="00461DA2" w:rsidP="00077A80">
          <w:pPr>
            <w:ind w:left="0" w:firstLine="0"/>
            <w:rPr>
              <w:rFonts w:ascii="Georgia" w:eastAsiaTheme="minorHAnsi" w:hAnsi="Georgia" w:cstheme="minorBidi"/>
            </w:rPr>
          </w:pPr>
          <w:r w:rsidRPr="00461DA2">
            <w:rPr>
              <w:rFonts w:ascii="Georgia" w:eastAsiaTheme="minorHAnsi" w:hAnsi="Georgia" w:cstheme="minorBidi"/>
            </w:rPr>
            <w:t>02/14/</w:t>
          </w:r>
          <w:r w:rsidR="00E027E6">
            <w:rPr>
              <w:rFonts w:ascii="Georgia" w:eastAsiaTheme="minorHAnsi" w:hAnsi="Georgia" w:cstheme="minorBidi"/>
            </w:rPr>
            <w:t>20</w:t>
          </w:r>
          <w:r w:rsidRPr="00461DA2">
            <w:rPr>
              <w:rFonts w:ascii="Georgia" w:eastAsiaTheme="minorHAnsi" w:hAnsi="Georgia" w:cstheme="minorBidi"/>
            </w:rPr>
            <w:t>22</w:t>
          </w:r>
        </w:p>
      </w:tc>
      <w:tc>
        <w:tcPr>
          <w:tcW w:w="3111" w:type="dxa"/>
          <w:tcMar>
            <w:top w:w="115" w:type="dxa"/>
            <w:left w:w="115" w:type="dxa"/>
            <w:bottom w:w="115" w:type="dxa"/>
            <w:right w:w="115" w:type="dxa"/>
          </w:tcMar>
        </w:tcPr>
        <w:p w:rsidR="00017F74" w:rsidRPr="00461DA2" w:rsidRDefault="00E027E6" w:rsidP="00077A80">
          <w:pPr>
            <w:ind w:left="0" w:firstLine="0"/>
            <w:rPr>
              <w:rFonts w:ascii="Georgia" w:eastAsiaTheme="minorHAnsi" w:hAnsi="Georgia" w:cstheme="minorBidi"/>
            </w:rPr>
          </w:pPr>
          <w:r>
            <w:rPr>
              <w:rFonts w:ascii="Georgia" w:eastAsiaTheme="minorHAnsi" w:hAnsi="Georgia" w:cstheme="minorBidi"/>
            </w:rPr>
            <w:t>06/09/2023</w:t>
          </w:r>
        </w:p>
      </w:tc>
      <w:tc>
        <w:tcPr>
          <w:tcW w:w="3132" w:type="dxa"/>
        </w:tcPr>
        <w:p w:rsidR="00E027E6" w:rsidRPr="00461DA2" w:rsidRDefault="00E027E6" w:rsidP="00E027E6">
          <w:pPr>
            <w:ind w:left="0" w:firstLine="0"/>
            <w:rPr>
              <w:rFonts w:ascii="Georgia" w:eastAsiaTheme="minorHAnsi" w:hAnsi="Georgia" w:cstheme="minorBidi"/>
            </w:rPr>
          </w:pPr>
          <w:r>
            <w:rPr>
              <w:rFonts w:ascii="Georgia" w:eastAsiaTheme="minorHAnsi" w:hAnsi="Georgia" w:cstheme="minorBidi"/>
            </w:rPr>
            <w:t xml:space="preserve">08/07/2023 | </w:t>
          </w:r>
          <w:r w:rsidRPr="00E027E6">
            <w:rPr>
              <w:rFonts w:ascii="Georgia" w:eastAsiaTheme="minorHAnsi" w:hAnsi="Georgia" w:cstheme="minorBidi"/>
            </w:rPr>
            <w:t>Pursuant to Document 2023-11449 published in the Federal Register 6.5.2023 that Removes part (d) from CFR 418.60 (Hospice) and CFR 484.70 (Home Health)</w:t>
          </w:r>
        </w:p>
      </w:tc>
    </w:tr>
    <w:tr w:rsidR="001C0E4B" w:rsidRPr="00004886" w:rsidTr="001C0E4B">
      <w:trPr>
        <w:trHeight w:val="432"/>
      </w:trPr>
      <w:tc>
        <w:tcPr>
          <w:tcW w:w="9350" w:type="dxa"/>
          <w:gridSpan w:val="3"/>
          <w:shd w:val="clear" w:color="auto" w:fill="D9D9D9" w:themeFill="background1" w:themeFillShade="D9"/>
          <w:vAlign w:val="center"/>
        </w:tcPr>
        <w:p w:rsidR="001C0E4B" w:rsidRPr="0091763A" w:rsidRDefault="001C0E4B" w:rsidP="001C0E4B">
          <w:pPr>
            <w:ind w:left="0" w:firstLine="0"/>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1C0E4B" w:rsidRPr="00004886" w:rsidTr="001C0E4B">
      <w:trPr>
        <w:trHeight w:val="576"/>
      </w:trPr>
      <w:tc>
        <w:tcPr>
          <w:tcW w:w="9350" w:type="dxa"/>
          <w:gridSpan w:val="3"/>
          <w:vAlign w:val="center"/>
        </w:tcPr>
        <w:p w:rsidR="001C0E4B" w:rsidRPr="00383057" w:rsidRDefault="001C0E4B" w:rsidP="001C0E4B">
          <w:pPr>
            <w:ind w:left="0" w:firstLine="0"/>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rsidTr="00A234E3">
      <w:tc>
        <w:tcPr>
          <w:tcW w:w="9350" w:type="dxa"/>
          <w:gridSpan w:val="3"/>
          <w:shd w:val="clear" w:color="auto" w:fill="D9D9D9" w:themeFill="background1" w:themeFillShade="D9"/>
          <w:tcMar>
            <w:top w:w="115" w:type="dxa"/>
            <w:left w:w="115" w:type="dxa"/>
            <w:bottom w:w="115" w:type="dxa"/>
            <w:right w:w="115" w:type="dxa"/>
          </w:tcMar>
        </w:tcPr>
        <w:p w:rsidR="00017F74" w:rsidRPr="0091763A" w:rsidRDefault="00017F74" w:rsidP="00E027E6">
          <w:pPr>
            <w:ind w:left="0" w:firstLine="0"/>
            <w:rPr>
              <w:rFonts w:ascii="Avenir" w:eastAsiaTheme="minorHAnsi" w:hAnsi="Avenir" w:cstheme="minorBidi"/>
            </w:rPr>
          </w:pPr>
          <w:r w:rsidRPr="0091763A">
            <w:rPr>
              <w:rFonts w:ascii="Avenir" w:eastAsiaTheme="minorHAnsi" w:hAnsi="Avenir" w:cstheme="minorBidi"/>
              <w:b/>
            </w:rPr>
            <w:t xml:space="preserve">Other Resources </w:t>
          </w:r>
        </w:p>
      </w:tc>
    </w:tr>
  </w:tbl>
  <w:p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F3BE44C6"/>
    <w:lvl w:ilvl="0" w:tplc="4A0ACD22">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B4713"/>
    <w:multiLevelType w:val="hybridMultilevel"/>
    <w:tmpl w:val="E13664C8"/>
    <w:lvl w:ilvl="0" w:tplc="56402EEE">
      <w:start w:val="1"/>
      <w:numFmt w:val="decimal"/>
      <w:lvlText w:val="%1."/>
      <w:lvlJc w:val="left"/>
      <w:pPr>
        <w:ind w:left="720" w:hanging="360"/>
      </w:pPr>
      <w:rPr>
        <w:rFonts w:ascii="Georgia" w:eastAsia="Georgia" w:hAnsi="Georgia" w:hint="default"/>
        <w:spacing w:val="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9631F"/>
    <w:multiLevelType w:val="hybridMultilevel"/>
    <w:tmpl w:val="E51C1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E0452"/>
    <w:multiLevelType w:val="hybridMultilevel"/>
    <w:tmpl w:val="CCA6A8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120050"/>
    <w:multiLevelType w:val="hybridMultilevel"/>
    <w:tmpl w:val="D8749516"/>
    <w:lvl w:ilvl="0" w:tplc="0409000F">
      <w:start w:val="1"/>
      <w:numFmt w:val="decimal"/>
      <w:lvlText w:val="%1."/>
      <w:lvlJc w:val="left"/>
      <w:pPr>
        <w:ind w:left="1440" w:hanging="720"/>
      </w:pPr>
      <w:rPr>
        <w:rFonts w:hint="default"/>
      </w:rPr>
    </w:lvl>
    <w:lvl w:ilvl="1" w:tplc="04090015">
      <w:start w:val="1"/>
      <w:numFmt w:val="upperLetter"/>
      <w:lvlText w:val="%2."/>
      <w:lvlJc w:val="left"/>
      <w:pPr>
        <w:ind w:left="1800" w:hanging="360"/>
      </w:pPr>
    </w:lvl>
    <w:lvl w:ilvl="2" w:tplc="82E06BA4">
      <w:start w:val="1"/>
      <w:numFmt w:val="lowerRoman"/>
      <w:lvlText w:val="%3."/>
      <w:lvlJc w:val="left"/>
      <w:pPr>
        <w:ind w:left="2520" w:hanging="180"/>
      </w:pPr>
      <w:rPr>
        <w:rFonts w:hint="default"/>
      </w:rPr>
    </w:lvl>
    <w:lvl w:ilvl="3" w:tplc="04090019">
      <w:start w:val="1"/>
      <w:numFmt w:val="lowerLetter"/>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D437A2"/>
    <w:multiLevelType w:val="hybridMultilevel"/>
    <w:tmpl w:val="AFF25340"/>
    <w:lvl w:ilvl="0" w:tplc="7F4AD040">
      <w:numFmt w:val="bullet"/>
      <w:lvlText w:val="•"/>
      <w:lvlJc w:val="left"/>
      <w:pPr>
        <w:ind w:left="1080" w:hanging="72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0B2814"/>
    <w:multiLevelType w:val="hybridMultilevel"/>
    <w:tmpl w:val="7EE8253A"/>
    <w:lvl w:ilvl="0" w:tplc="04090019">
      <w:start w:val="1"/>
      <w:numFmt w:val="lowerLetter"/>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451522D"/>
    <w:multiLevelType w:val="hybridMultilevel"/>
    <w:tmpl w:val="B9022EC8"/>
    <w:lvl w:ilvl="0" w:tplc="C986A530">
      <w:start w:val="1"/>
      <w:numFmt w:val="decimal"/>
      <w:lvlText w:val="%1."/>
      <w:lvlJc w:val="left"/>
      <w:pPr>
        <w:ind w:left="108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0409000F">
      <w:start w:val="1"/>
      <w:numFmt w:val="decimal"/>
      <w:lvlText w:val="%4."/>
      <w:lvlJc w:val="left"/>
      <w:pPr>
        <w:ind w:left="720" w:hanging="360"/>
      </w:p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start w:val="1"/>
      <w:numFmt w:val="decimal"/>
      <w:lvlText w:val="%7."/>
      <w:lvlJc w:val="left"/>
      <w:pPr>
        <w:ind w:left="2880" w:hanging="360"/>
      </w:pPr>
    </w:lvl>
    <w:lvl w:ilvl="7" w:tplc="04090019">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0" w15:restartNumberingAfterBreak="0">
    <w:nsid w:val="7B250DD4"/>
    <w:multiLevelType w:val="hybridMultilevel"/>
    <w:tmpl w:val="14FA27A8"/>
    <w:lvl w:ilvl="0" w:tplc="041028F8">
      <w:numFmt w:val="bullet"/>
      <w:lvlText w:val=""/>
      <w:lvlJc w:val="left"/>
      <w:pPr>
        <w:ind w:left="1080" w:hanging="72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4"/>
  </w:num>
  <w:num w:numId="4">
    <w:abstractNumId w:val="8"/>
  </w:num>
  <w:num w:numId="5">
    <w:abstractNumId w:val="9"/>
  </w:num>
  <w:num w:numId="6">
    <w:abstractNumId w:val="7"/>
  </w:num>
  <w:num w:numId="7">
    <w:abstractNumId w:val="5"/>
  </w:num>
  <w:num w:numId="8">
    <w:abstractNumId w:val="3"/>
  </w:num>
  <w:num w:numId="9">
    <w:abstractNumId w:val="1"/>
  </w:num>
  <w:num w:numId="10">
    <w:abstractNumId w:val="6"/>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7448A"/>
    <w:rsid w:val="00077A80"/>
    <w:rsid w:val="00096280"/>
    <w:rsid w:val="0010599D"/>
    <w:rsid w:val="001C0E4B"/>
    <w:rsid w:val="001F2D24"/>
    <w:rsid w:val="002174C0"/>
    <w:rsid w:val="00227655"/>
    <w:rsid w:val="0024579D"/>
    <w:rsid w:val="002712F1"/>
    <w:rsid w:val="00366B62"/>
    <w:rsid w:val="00383057"/>
    <w:rsid w:val="003A605C"/>
    <w:rsid w:val="004429B0"/>
    <w:rsid w:val="00460838"/>
    <w:rsid w:val="00461DA2"/>
    <w:rsid w:val="00496194"/>
    <w:rsid w:val="004F7E1E"/>
    <w:rsid w:val="00514ADE"/>
    <w:rsid w:val="00526296"/>
    <w:rsid w:val="00583D01"/>
    <w:rsid w:val="00597493"/>
    <w:rsid w:val="00601349"/>
    <w:rsid w:val="006318B2"/>
    <w:rsid w:val="00636251"/>
    <w:rsid w:val="00641263"/>
    <w:rsid w:val="0064513A"/>
    <w:rsid w:val="006772EC"/>
    <w:rsid w:val="00706119"/>
    <w:rsid w:val="00721119"/>
    <w:rsid w:val="0072406C"/>
    <w:rsid w:val="00727A8F"/>
    <w:rsid w:val="00752351"/>
    <w:rsid w:val="007A4200"/>
    <w:rsid w:val="007D240F"/>
    <w:rsid w:val="00806F6F"/>
    <w:rsid w:val="00823DDC"/>
    <w:rsid w:val="0084412E"/>
    <w:rsid w:val="00857EA6"/>
    <w:rsid w:val="008B5E89"/>
    <w:rsid w:val="008F49D4"/>
    <w:rsid w:val="008F613B"/>
    <w:rsid w:val="00914055"/>
    <w:rsid w:val="0091763A"/>
    <w:rsid w:val="009342A6"/>
    <w:rsid w:val="009B13CB"/>
    <w:rsid w:val="009D2FA6"/>
    <w:rsid w:val="009E625B"/>
    <w:rsid w:val="00A01A8A"/>
    <w:rsid w:val="00A234E3"/>
    <w:rsid w:val="00AD0608"/>
    <w:rsid w:val="00B5065F"/>
    <w:rsid w:val="00B911E5"/>
    <w:rsid w:val="00BA51C0"/>
    <w:rsid w:val="00BB6A10"/>
    <w:rsid w:val="00BD4095"/>
    <w:rsid w:val="00BE15B1"/>
    <w:rsid w:val="00C050DD"/>
    <w:rsid w:val="00C212BB"/>
    <w:rsid w:val="00C70850"/>
    <w:rsid w:val="00CD1553"/>
    <w:rsid w:val="00D233DF"/>
    <w:rsid w:val="00D96275"/>
    <w:rsid w:val="00DC23DD"/>
    <w:rsid w:val="00DD17C5"/>
    <w:rsid w:val="00E027E6"/>
    <w:rsid w:val="00E547EA"/>
    <w:rsid w:val="00E810E1"/>
    <w:rsid w:val="00EA5F14"/>
    <w:rsid w:val="00F107CD"/>
    <w:rsid w:val="00F53FEA"/>
    <w:rsid w:val="00F74655"/>
    <w:rsid w:val="00FE7C74"/>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8A2E846"/>
  <w15:docId w15:val="{A56A045C-0F0C-4E6D-A579-B121873E3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pPr>
        <w:ind w:left="180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paragraph" w:customStyle="1" w:styleId="Default">
    <w:name w:val="Default"/>
    <w:rsid w:val="00A234E3"/>
    <w:pPr>
      <w:autoSpaceDE w:val="0"/>
      <w:autoSpaceDN w:val="0"/>
      <w:adjustRightInd w:val="0"/>
      <w:ind w:left="0" w:firstLine="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2</cp:revision>
  <dcterms:created xsi:type="dcterms:W3CDTF">2023-07-05T13:53:00Z</dcterms:created>
  <dcterms:modified xsi:type="dcterms:W3CDTF">2023-07-05T13:53:00Z</dcterms:modified>
</cp:coreProperties>
</file>