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A181" w14:textId="77777777" w:rsidR="00004851" w:rsidRPr="000C0172" w:rsidRDefault="00004851" w:rsidP="00004851">
      <w:pPr>
        <w:pStyle w:val="Heading3"/>
        <w:rPr>
          <w:rFonts w:ascii="Avenir" w:hAnsi="Avenir"/>
          <w:caps w:val="0"/>
        </w:rPr>
      </w:pPr>
      <w:r w:rsidRPr="000C0172">
        <w:rPr>
          <w:rFonts w:ascii="Avenir" w:hAnsi="Avenir"/>
          <w:caps w:val="0"/>
        </w:rPr>
        <w:t>PURPOSE</w:t>
      </w:r>
    </w:p>
    <w:p w14:paraId="1711B871" w14:textId="77777777" w:rsidR="00004851" w:rsidRPr="000C0172" w:rsidRDefault="00004851" w:rsidP="00004851">
      <w:pPr>
        <w:pStyle w:val="Heading3"/>
        <w:rPr>
          <w:rFonts w:ascii="Avenir" w:hAnsi="Avenir"/>
          <w:sz w:val="16"/>
          <w:szCs w:val="16"/>
        </w:rPr>
      </w:pPr>
    </w:p>
    <w:p w14:paraId="1DDD9428" w14:textId="77777777" w:rsidR="00AE643A" w:rsidRPr="00AE643A" w:rsidRDefault="00AE643A" w:rsidP="00AE643A">
      <w:pPr>
        <w:spacing w:after="0" w:line="240" w:lineRule="auto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>To define the organization's compliance with waived testing criteria and the need for a certificate of laboratory services.</w:t>
      </w:r>
    </w:p>
    <w:p w14:paraId="5889727C" w14:textId="77777777" w:rsidR="00004851" w:rsidRPr="00247F2F" w:rsidRDefault="00004851" w:rsidP="00004851">
      <w:pPr>
        <w:spacing w:after="0" w:line="240" w:lineRule="auto"/>
        <w:rPr>
          <w:rFonts w:ascii="Georgia" w:hAnsi="Georgia"/>
        </w:rPr>
      </w:pPr>
    </w:p>
    <w:p w14:paraId="2BF9E27A" w14:textId="77777777" w:rsidR="00004851" w:rsidRDefault="00004851" w:rsidP="00004851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POLICY</w:t>
      </w:r>
    </w:p>
    <w:p w14:paraId="2C723D96" w14:textId="77777777" w:rsidR="00004851" w:rsidRPr="000C0172" w:rsidRDefault="00004851" w:rsidP="00004851">
      <w:pPr>
        <w:pStyle w:val="Heading3"/>
        <w:rPr>
          <w:rFonts w:ascii="Avenir" w:hAnsi="Avenir"/>
          <w:sz w:val="16"/>
          <w:szCs w:val="16"/>
        </w:rPr>
      </w:pPr>
    </w:p>
    <w:p w14:paraId="35B1601C" w14:textId="77777777" w:rsidR="00AE643A" w:rsidRPr="00AE643A" w:rsidRDefault="00AE643A" w:rsidP="00AE643A">
      <w:pPr>
        <w:spacing w:after="0" w:line="240" w:lineRule="auto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 xml:space="preserve">The Clinical Laboratory Improvement Act (CLIA) of 1988 requires all clinical laboratories to possess a CLIA certificate in order to perform testing of human specimens.  Certain tests are listed on a waived list.  </w:t>
      </w:r>
    </w:p>
    <w:p w14:paraId="70C0E9FC" w14:textId="77777777" w:rsidR="00004851" w:rsidRDefault="00004851" w:rsidP="00004851">
      <w:pPr>
        <w:spacing w:after="0" w:line="240" w:lineRule="auto"/>
        <w:rPr>
          <w:rFonts w:ascii="Georgia" w:hAnsi="Georgia"/>
        </w:rPr>
      </w:pPr>
    </w:p>
    <w:p w14:paraId="33DD6441" w14:textId="77777777" w:rsidR="00004851" w:rsidRPr="0017562B" w:rsidRDefault="00004851" w:rsidP="00004851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PROCEDURE</w:t>
      </w:r>
    </w:p>
    <w:p w14:paraId="4F5BE741" w14:textId="77777777" w:rsidR="00004851" w:rsidRDefault="00004851" w:rsidP="00004851">
      <w:pPr>
        <w:spacing w:after="0" w:line="240" w:lineRule="auto"/>
        <w:rPr>
          <w:rFonts w:ascii="Georgia" w:hAnsi="Georgia"/>
          <w:sz w:val="16"/>
        </w:rPr>
      </w:pPr>
    </w:p>
    <w:p w14:paraId="13C39A0F" w14:textId="77777777" w:rsidR="00AE643A" w:rsidRPr="00AE643A" w:rsidRDefault="00AE643A" w:rsidP="00AE643A">
      <w:pPr>
        <w:numPr>
          <w:ilvl w:val="0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>Ohio Living Home Health will perform the following permitted laboratory tests in the home.</w:t>
      </w:r>
    </w:p>
    <w:p w14:paraId="7AD5E982" w14:textId="77777777" w:rsidR="00AE643A" w:rsidRPr="00AE643A" w:rsidRDefault="00AE643A" w:rsidP="00806D16">
      <w:pPr>
        <w:numPr>
          <w:ilvl w:val="1"/>
          <w:numId w:val="19"/>
        </w:numPr>
        <w:spacing w:after="0" w:line="240" w:lineRule="auto"/>
        <w:ind w:left="720"/>
        <w:rPr>
          <w:rFonts w:ascii="Georgia" w:eastAsia="Times New Roman" w:hAnsi="Georgia"/>
          <w:szCs w:val="20"/>
        </w:rPr>
      </w:pPr>
      <w:r w:rsidRPr="00AE643A">
        <w:rPr>
          <w:rFonts w:ascii="Georgia" w:eastAsia="Times New Roman" w:hAnsi="Georgia"/>
          <w:szCs w:val="20"/>
        </w:rPr>
        <w:t>Prothrombin time and International Normalized Ratio (PT/INR)</w:t>
      </w:r>
    </w:p>
    <w:p w14:paraId="7B6C17BC" w14:textId="77777777" w:rsidR="00AE643A" w:rsidRPr="00AE643A" w:rsidRDefault="00AE643A" w:rsidP="00AE643A">
      <w:pPr>
        <w:numPr>
          <w:ilvl w:val="0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>Ohio Living Home Health will apply for and maintain a CLIA waiver on file.</w:t>
      </w:r>
    </w:p>
    <w:p w14:paraId="7CD77CB5" w14:textId="77777777" w:rsidR="00AE643A" w:rsidRPr="00AE643A" w:rsidRDefault="00AE643A" w:rsidP="00AE643A">
      <w:pPr>
        <w:numPr>
          <w:ilvl w:val="0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 xml:space="preserve">Patients who require laboratory tests performed that are not within the scope of tests offered will have their specimens transported to a CLIA certified laboratory for testing.  </w:t>
      </w:r>
    </w:p>
    <w:p w14:paraId="71D81DDE" w14:textId="77777777" w:rsidR="00AE643A" w:rsidRPr="00AE643A" w:rsidRDefault="00AE643A" w:rsidP="00AE643A">
      <w:pPr>
        <w:numPr>
          <w:ilvl w:val="0"/>
          <w:numId w:val="19"/>
        </w:numPr>
        <w:spacing w:after="0" w:line="240" w:lineRule="auto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>Policies and procedures for each type of waived test performed will include, at a minimum:</w:t>
      </w:r>
    </w:p>
    <w:p w14:paraId="0AFEC011" w14:textId="77777777" w:rsidR="00AE643A" w:rsidRPr="00AE643A" w:rsidRDefault="00AE643A" w:rsidP="00806D16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bookmarkStart w:id="0" w:name="_GoBack"/>
      <w:r w:rsidRPr="00AE643A">
        <w:rPr>
          <w:rFonts w:ascii="Georgia" w:eastAsia="PMingLiU" w:hAnsi="Georgia" w:cs="Arial"/>
        </w:rPr>
        <w:t>Indications and purpose of the test</w:t>
      </w:r>
    </w:p>
    <w:p w14:paraId="6A1B0DBC" w14:textId="77777777" w:rsidR="00AE643A" w:rsidRPr="00AE643A" w:rsidRDefault="00AE643A" w:rsidP="00806D16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>Personnel responsible for performing and supervising waived testing</w:t>
      </w:r>
    </w:p>
    <w:p w14:paraId="2AEAE307" w14:textId="77777777" w:rsidR="00AE643A" w:rsidRPr="00AE643A" w:rsidRDefault="00AE643A" w:rsidP="00806D16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>Training of staff in performing waived tests</w:t>
      </w:r>
    </w:p>
    <w:p w14:paraId="10145571" w14:textId="77777777" w:rsidR="00AE643A" w:rsidRPr="00AE643A" w:rsidRDefault="00AE643A" w:rsidP="00806D16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>Parameters for requiring follow-up or referral</w:t>
      </w:r>
    </w:p>
    <w:p w14:paraId="771E97FB" w14:textId="77777777" w:rsidR="00AE643A" w:rsidRPr="00AE643A" w:rsidRDefault="00AE643A" w:rsidP="00806D16">
      <w:pPr>
        <w:numPr>
          <w:ilvl w:val="1"/>
          <w:numId w:val="19"/>
        </w:numPr>
        <w:spacing w:after="0" w:line="240" w:lineRule="auto"/>
        <w:ind w:left="720"/>
        <w:rPr>
          <w:rFonts w:ascii="Georgia" w:eastAsia="PMingLiU" w:hAnsi="Georgia" w:cs="Arial"/>
        </w:rPr>
      </w:pPr>
      <w:r w:rsidRPr="00AE643A">
        <w:rPr>
          <w:rFonts w:ascii="Georgia" w:eastAsia="PMingLiU" w:hAnsi="Georgia" w:cs="Arial"/>
        </w:rPr>
        <w:t>Mechanism used to ensure accuracy of testing instruments used</w:t>
      </w:r>
    </w:p>
    <w:bookmarkEnd w:id="0"/>
    <w:p w14:paraId="6BB96068" w14:textId="77777777" w:rsidR="00AE643A" w:rsidRPr="00AE643A" w:rsidRDefault="00AE643A" w:rsidP="00004851">
      <w:pPr>
        <w:spacing w:after="0" w:line="240" w:lineRule="auto"/>
        <w:rPr>
          <w:rFonts w:ascii="Georgia" w:hAnsi="Georgia"/>
        </w:rPr>
      </w:pPr>
    </w:p>
    <w:sectPr w:rsidR="00AE643A" w:rsidRPr="00AE643A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CA22B" w14:textId="77777777" w:rsidR="00115A1B" w:rsidRDefault="00115A1B" w:rsidP="00004886">
      <w:pPr>
        <w:spacing w:after="0" w:line="240" w:lineRule="auto"/>
      </w:pPr>
      <w:r>
        <w:separator/>
      </w:r>
    </w:p>
  </w:endnote>
  <w:endnote w:type="continuationSeparator" w:id="0">
    <w:p w14:paraId="68B07631" w14:textId="77777777" w:rsidR="00115A1B" w:rsidRDefault="00115A1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E28D7D5" w14:textId="5E41B309" w:rsidR="004F6C2F" w:rsidRPr="00806D16" w:rsidRDefault="004F6C2F" w:rsidP="00806D16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76357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76357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46919" w14:textId="77777777" w:rsidR="00115A1B" w:rsidRDefault="00115A1B" w:rsidP="00004886">
      <w:pPr>
        <w:spacing w:after="0" w:line="240" w:lineRule="auto"/>
      </w:pPr>
      <w:r>
        <w:separator/>
      </w:r>
    </w:p>
  </w:footnote>
  <w:footnote w:type="continuationSeparator" w:id="0">
    <w:p w14:paraId="0357F66A" w14:textId="77777777" w:rsidR="00115A1B" w:rsidRDefault="00115A1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1E2B1" w14:textId="77777777" w:rsidR="004F6C2F" w:rsidRDefault="00004851" w:rsidP="000C01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7ED80" wp14:editId="23BF073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08388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D7ED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6AA08388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76357">
      <w:rPr>
        <w:noProof/>
      </w:rPr>
      <w:drawing>
        <wp:inline distT="0" distB="0" distL="0" distR="0" wp14:anchorId="7283A569" wp14:editId="3F6D9957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7"/>
      <w:gridCol w:w="3115"/>
    </w:tblGrid>
    <w:tr w:rsidR="00806D16" w:rsidRPr="00004886" w14:paraId="5705E31D" w14:textId="77777777" w:rsidTr="00806D16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952C2BE" w14:textId="77777777" w:rsidR="00806D16" w:rsidRPr="0091763A" w:rsidRDefault="00806D16" w:rsidP="00806D1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806D16" w:rsidRPr="00004886" w14:paraId="1B06F024" w14:textId="77777777" w:rsidTr="00806D16">
      <w:trPr>
        <w:trHeight w:val="432"/>
      </w:trPr>
      <w:tc>
        <w:tcPr>
          <w:tcW w:w="9350" w:type="dxa"/>
          <w:gridSpan w:val="3"/>
          <w:vAlign w:val="center"/>
        </w:tcPr>
        <w:p w14:paraId="0B3568ED" w14:textId="77777777" w:rsidR="00806D16" w:rsidRPr="00383057" w:rsidRDefault="00806D16" w:rsidP="00806D16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Waived Tests</w:t>
          </w:r>
        </w:p>
      </w:tc>
    </w:tr>
    <w:tr w:rsidR="004F6C2F" w:rsidRPr="00004886" w14:paraId="3054AC92" w14:textId="77777777" w:rsidTr="00806D16">
      <w:tc>
        <w:tcPr>
          <w:tcW w:w="3118" w:type="dxa"/>
          <w:shd w:val="clear" w:color="auto" w:fill="D9D9D9" w:themeFill="background1" w:themeFillShade="D9"/>
        </w:tcPr>
        <w:p w14:paraId="743756B6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A0688D2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37BB87C7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29D5E06E" w14:textId="77777777" w:rsidTr="00806D16">
      <w:tc>
        <w:tcPr>
          <w:tcW w:w="3118" w:type="dxa"/>
        </w:tcPr>
        <w:p w14:paraId="3B6D1742" w14:textId="742C85F7" w:rsidR="004F6C2F" w:rsidRPr="00383057" w:rsidRDefault="00806D16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3221DFC" w14:textId="2CA848AE" w:rsidR="004F6C2F" w:rsidRPr="00383057" w:rsidRDefault="00806D16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06/16/2023</w:t>
          </w:r>
        </w:p>
      </w:tc>
      <w:tc>
        <w:tcPr>
          <w:tcW w:w="3115" w:type="dxa"/>
        </w:tcPr>
        <w:p w14:paraId="2EE532AD" w14:textId="0FF0F578" w:rsidR="004F6C2F" w:rsidRPr="00383057" w:rsidRDefault="00806D16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06/16/2025</w:t>
          </w:r>
        </w:p>
      </w:tc>
    </w:tr>
    <w:tr w:rsidR="00806D16" w:rsidRPr="00004886" w14:paraId="20C4730A" w14:textId="77777777" w:rsidTr="00806D16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B20B4CA" w14:textId="3AE3CA4F" w:rsidR="00806D16" w:rsidRPr="0091763A" w:rsidRDefault="00806D16" w:rsidP="00806D16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806D16" w:rsidRPr="00004886" w14:paraId="0C1FA7EB" w14:textId="77777777" w:rsidTr="00806D16">
      <w:trPr>
        <w:trHeight w:val="576"/>
      </w:trPr>
      <w:tc>
        <w:tcPr>
          <w:tcW w:w="9350" w:type="dxa"/>
          <w:gridSpan w:val="3"/>
          <w:vAlign w:val="center"/>
        </w:tcPr>
        <w:p w14:paraId="1E1E513F" w14:textId="7D0D0C0B" w:rsidR="00806D16" w:rsidRPr="00383057" w:rsidRDefault="00806D16" w:rsidP="00806D16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171CD8FC" w14:textId="77777777" w:rsidTr="00806D16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579A788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16D3A0B2" w14:textId="77777777" w:rsidTr="00806D16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48BD0773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FC87EF1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B93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D18C9"/>
    <w:multiLevelType w:val="multilevel"/>
    <w:tmpl w:val="62B8A2D6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8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961"/>
    <w:multiLevelType w:val="hybridMultilevel"/>
    <w:tmpl w:val="20940E9E"/>
    <w:lvl w:ilvl="0" w:tplc="F85448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03BCD"/>
    <w:multiLevelType w:val="hybridMultilevel"/>
    <w:tmpl w:val="E230F98A"/>
    <w:lvl w:ilvl="0" w:tplc="B5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CBC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BC580F"/>
    <w:multiLevelType w:val="hybridMultilevel"/>
    <w:tmpl w:val="59E056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717C9"/>
    <w:multiLevelType w:val="hybridMultilevel"/>
    <w:tmpl w:val="7604D9E2"/>
    <w:lvl w:ilvl="0" w:tplc="404AE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67EA9E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A876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433C0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7CF043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4"/>
  </w:num>
  <w:num w:numId="11">
    <w:abstractNumId w:val="2"/>
  </w:num>
  <w:num w:numId="12">
    <w:abstractNumId w:val="17"/>
  </w:num>
  <w:num w:numId="13">
    <w:abstractNumId w:val="16"/>
  </w:num>
  <w:num w:numId="14">
    <w:abstractNumId w:val="11"/>
  </w:num>
  <w:num w:numId="15">
    <w:abstractNumId w:val="15"/>
  </w:num>
  <w:num w:numId="16">
    <w:abstractNumId w:val="9"/>
  </w:num>
  <w:num w:numId="17">
    <w:abstractNumId w:val="7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51"/>
    <w:rsid w:val="00004886"/>
    <w:rsid w:val="00017F74"/>
    <w:rsid w:val="00070BDF"/>
    <w:rsid w:val="000C0172"/>
    <w:rsid w:val="000E0733"/>
    <w:rsid w:val="00115A1B"/>
    <w:rsid w:val="00193514"/>
    <w:rsid w:val="002174C0"/>
    <w:rsid w:val="00247F2F"/>
    <w:rsid w:val="00366B62"/>
    <w:rsid w:val="00376357"/>
    <w:rsid w:val="00383057"/>
    <w:rsid w:val="003A605C"/>
    <w:rsid w:val="004039FB"/>
    <w:rsid w:val="00496194"/>
    <w:rsid w:val="004B00A2"/>
    <w:rsid w:val="004F6C2F"/>
    <w:rsid w:val="004F7E1E"/>
    <w:rsid w:val="00513DB0"/>
    <w:rsid w:val="00555A30"/>
    <w:rsid w:val="006318B2"/>
    <w:rsid w:val="00636251"/>
    <w:rsid w:val="0064513A"/>
    <w:rsid w:val="006772EC"/>
    <w:rsid w:val="006C0ECD"/>
    <w:rsid w:val="00721119"/>
    <w:rsid w:val="00744C01"/>
    <w:rsid w:val="007D240F"/>
    <w:rsid w:val="00806D16"/>
    <w:rsid w:val="00806F6F"/>
    <w:rsid w:val="00857EA6"/>
    <w:rsid w:val="008F49D4"/>
    <w:rsid w:val="00914055"/>
    <w:rsid w:val="0091763A"/>
    <w:rsid w:val="009342A6"/>
    <w:rsid w:val="009E00C6"/>
    <w:rsid w:val="009F3EE2"/>
    <w:rsid w:val="00A1280F"/>
    <w:rsid w:val="00A44F94"/>
    <w:rsid w:val="00A63F7C"/>
    <w:rsid w:val="00AC317F"/>
    <w:rsid w:val="00AE643A"/>
    <w:rsid w:val="00AF7CAE"/>
    <w:rsid w:val="00BA51C0"/>
    <w:rsid w:val="00C4620C"/>
    <w:rsid w:val="00C57F0F"/>
    <w:rsid w:val="00C70850"/>
    <w:rsid w:val="00C74C58"/>
    <w:rsid w:val="00C82A2B"/>
    <w:rsid w:val="00C97BB8"/>
    <w:rsid w:val="00DD17C5"/>
    <w:rsid w:val="00DE38FB"/>
    <w:rsid w:val="00E547EA"/>
    <w:rsid w:val="00E810E1"/>
    <w:rsid w:val="00F107CD"/>
    <w:rsid w:val="00F35793"/>
    <w:rsid w:val="00F53FEA"/>
    <w:rsid w:val="00F86AB3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A090462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17FE8-11CE-4343-8443-F34627EC2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2023-08-22T19:12:00Z</dcterms:created>
  <dcterms:modified xsi:type="dcterms:W3CDTF">2023-08-22T19:13:00Z</dcterms:modified>
</cp:coreProperties>
</file>