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92B20" w14:textId="77777777" w:rsidR="00383057" w:rsidRPr="00F666DD" w:rsidRDefault="007D240F" w:rsidP="008A1161">
      <w:pPr>
        <w:spacing w:after="0" w:line="360" w:lineRule="auto"/>
        <w:rPr>
          <w:rFonts w:ascii="Avenir" w:hAnsi="Avenir" w:cs="Arial"/>
          <w:b/>
          <w:sz w:val="24"/>
        </w:rPr>
      </w:pPr>
      <w:r w:rsidRPr="00F666DD">
        <w:rPr>
          <w:rFonts w:ascii="Avenir" w:hAnsi="Avenir" w:cs="Arial"/>
          <w:b/>
          <w:sz w:val="24"/>
        </w:rPr>
        <w:t>Purpose</w:t>
      </w:r>
      <w:r w:rsidR="00A1552D" w:rsidRPr="00F666DD">
        <w:rPr>
          <w:rFonts w:ascii="Avenir" w:hAnsi="Avenir" w:cs="Arial"/>
          <w:b/>
          <w:sz w:val="24"/>
        </w:rPr>
        <w:t xml:space="preserve"> </w:t>
      </w:r>
    </w:p>
    <w:p w14:paraId="4B4820B9" w14:textId="77777777" w:rsidR="00A1552D" w:rsidRPr="00A1552D" w:rsidRDefault="00A1552D" w:rsidP="00F1302D">
      <w:pPr>
        <w:pStyle w:val="ListParagraph"/>
        <w:widowControl w:val="0"/>
        <w:numPr>
          <w:ilvl w:val="0"/>
          <w:numId w:val="6"/>
        </w:numPr>
        <w:autoSpaceDE w:val="0"/>
        <w:autoSpaceDN w:val="0"/>
        <w:adjustRightInd w:val="0"/>
        <w:spacing w:after="0" w:line="201" w:lineRule="atLeast"/>
        <w:ind w:left="540" w:hanging="540"/>
        <w:rPr>
          <w:rFonts w:ascii="Georgia" w:hAnsi="Georgia"/>
          <w:caps/>
          <w:szCs w:val="20"/>
        </w:rPr>
      </w:pPr>
      <w:r w:rsidRPr="00A1552D">
        <w:rPr>
          <w:rFonts w:ascii="Georgia" w:hAnsi="Georgia" w:cs="Arial"/>
        </w:rPr>
        <w:t>To provide testing to residents or employees unknowingly exposed to persons with active pulmonary tuberculosis</w:t>
      </w:r>
    </w:p>
    <w:p w14:paraId="291C3898" w14:textId="77777777" w:rsidR="00A1552D" w:rsidRPr="00325B32" w:rsidRDefault="00A1552D" w:rsidP="00F1302D">
      <w:pPr>
        <w:pStyle w:val="ListParagraph"/>
        <w:widowControl w:val="0"/>
        <w:numPr>
          <w:ilvl w:val="0"/>
          <w:numId w:val="6"/>
        </w:numPr>
        <w:autoSpaceDE w:val="0"/>
        <w:autoSpaceDN w:val="0"/>
        <w:adjustRightInd w:val="0"/>
        <w:spacing w:after="0" w:line="201" w:lineRule="atLeast"/>
        <w:ind w:left="540" w:hanging="540"/>
        <w:rPr>
          <w:rFonts w:ascii="Georgia" w:hAnsi="Georgia"/>
          <w:caps/>
          <w:szCs w:val="20"/>
        </w:rPr>
      </w:pPr>
      <w:r w:rsidRPr="00A1552D">
        <w:rPr>
          <w:rFonts w:ascii="Georgia" w:hAnsi="Georgia" w:cs="Arial"/>
        </w:rPr>
        <w:t>To provide follow up to residents or employees unknowingly exposed to persons with active pulmonary tuberculosis</w:t>
      </w:r>
    </w:p>
    <w:p w14:paraId="3AB3DB76" w14:textId="77777777" w:rsidR="00366B62" w:rsidRPr="00325B32" w:rsidRDefault="00325B32" w:rsidP="00F1302D">
      <w:pPr>
        <w:pStyle w:val="ListParagraph"/>
        <w:widowControl w:val="0"/>
        <w:numPr>
          <w:ilvl w:val="0"/>
          <w:numId w:val="6"/>
        </w:numPr>
        <w:autoSpaceDE w:val="0"/>
        <w:autoSpaceDN w:val="0"/>
        <w:adjustRightInd w:val="0"/>
        <w:spacing w:after="0" w:line="201" w:lineRule="atLeast"/>
        <w:ind w:left="540" w:hanging="540"/>
        <w:rPr>
          <w:rFonts w:ascii="Georgia" w:hAnsi="Georgia"/>
          <w:caps/>
        </w:rPr>
      </w:pPr>
      <w:r w:rsidRPr="00325B32">
        <w:rPr>
          <w:rFonts w:ascii="Georgia" w:hAnsi="Georgia"/>
          <w:bCs/>
        </w:rPr>
        <w:t>To ensure that only an authorized prescriber (Physician; Advanced Practice Nurse with a certificate to prescribe; or Physician Assistant with a certificate to prescribe and physician delegated prescriptive authority and, if applicable, consistent with the policies of the health care facility) can initiate or adjust medications.</w:t>
      </w:r>
    </w:p>
    <w:p w14:paraId="20F71935" w14:textId="77777777" w:rsidR="00325B32" w:rsidRPr="00325B32" w:rsidRDefault="00325B32" w:rsidP="00325B32">
      <w:pPr>
        <w:widowControl w:val="0"/>
        <w:autoSpaceDE w:val="0"/>
        <w:autoSpaceDN w:val="0"/>
        <w:adjustRightInd w:val="0"/>
        <w:spacing w:after="0" w:line="201" w:lineRule="atLeast"/>
        <w:ind w:left="720"/>
        <w:rPr>
          <w:rFonts w:ascii="Georgia" w:hAnsi="Georgia"/>
          <w:caps/>
        </w:rPr>
      </w:pPr>
    </w:p>
    <w:p w14:paraId="428EC9D7" w14:textId="77777777" w:rsidR="00C70850" w:rsidRPr="00F666DD" w:rsidRDefault="00A1552D" w:rsidP="008A1161">
      <w:pPr>
        <w:spacing w:after="0" w:line="360" w:lineRule="auto"/>
        <w:rPr>
          <w:rFonts w:ascii="Avenir" w:hAnsi="Avenir" w:cs="Arial"/>
          <w:b/>
          <w:sz w:val="24"/>
        </w:rPr>
      </w:pPr>
      <w:r w:rsidRPr="00F666DD">
        <w:rPr>
          <w:rFonts w:ascii="Avenir" w:hAnsi="Avenir" w:cs="Arial"/>
          <w:b/>
          <w:sz w:val="24"/>
        </w:rPr>
        <w:t>Definition</w:t>
      </w:r>
    </w:p>
    <w:p w14:paraId="7AE210CC" w14:textId="77777777" w:rsidR="00A1552D" w:rsidRPr="00102D28" w:rsidRDefault="00A1552D" w:rsidP="00F1302D">
      <w:pPr>
        <w:pStyle w:val="NormalWeb"/>
        <w:numPr>
          <w:ilvl w:val="0"/>
          <w:numId w:val="8"/>
        </w:numPr>
        <w:spacing w:before="0" w:beforeAutospacing="0" w:after="0" w:afterAutospacing="0"/>
        <w:ind w:left="540" w:right="720" w:hanging="540"/>
        <w:rPr>
          <w:rFonts w:ascii="Georgia" w:hAnsi="Georgia" w:cs="Arial"/>
          <w:sz w:val="22"/>
          <w:szCs w:val="22"/>
        </w:rPr>
      </w:pPr>
      <w:r w:rsidRPr="00102D28">
        <w:rPr>
          <w:rFonts w:ascii="Georgia" w:hAnsi="Georgia" w:cs="Arial"/>
          <w:sz w:val="22"/>
          <w:szCs w:val="22"/>
        </w:rPr>
        <w:t>TB infection (positive PPD skin test) in a person who does not have active disease is not considered a case of TB</w:t>
      </w:r>
    </w:p>
    <w:p w14:paraId="4DAB5E31" w14:textId="77777777" w:rsidR="00A1552D" w:rsidRPr="00102D28" w:rsidRDefault="00A1552D" w:rsidP="00F1302D">
      <w:pPr>
        <w:pStyle w:val="NormalWeb"/>
        <w:numPr>
          <w:ilvl w:val="0"/>
          <w:numId w:val="8"/>
        </w:numPr>
        <w:spacing w:before="0" w:beforeAutospacing="0" w:after="0" w:afterAutospacing="0"/>
        <w:ind w:left="540" w:right="720" w:hanging="540"/>
        <w:rPr>
          <w:rFonts w:ascii="Georgia" w:hAnsi="Georgia" w:cs="Arial"/>
          <w:sz w:val="22"/>
          <w:szCs w:val="22"/>
        </w:rPr>
      </w:pPr>
      <w:r w:rsidRPr="00102D28">
        <w:rPr>
          <w:rFonts w:ascii="Georgia" w:hAnsi="Georgia" w:cs="Arial"/>
          <w:sz w:val="22"/>
          <w:szCs w:val="22"/>
        </w:rPr>
        <w:t>Persons with TB infection who do not have disease:</w:t>
      </w:r>
    </w:p>
    <w:p w14:paraId="42494FD9" w14:textId="77777777" w:rsidR="00A1552D" w:rsidRPr="00102D28" w:rsidRDefault="00A1552D" w:rsidP="00F1302D">
      <w:pPr>
        <w:pStyle w:val="NormalWeb"/>
        <w:numPr>
          <w:ilvl w:val="1"/>
          <w:numId w:val="8"/>
        </w:numPr>
        <w:spacing w:before="0" w:beforeAutospacing="0" w:after="0" w:afterAutospacing="0"/>
        <w:ind w:left="1080" w:right="720" w:hanging="540"/>
        <w:rPr>
          <w:rFonts w:ascii="Georgia" w:hAnsi="Georgia" w:cs="Arial"/>
          <w:sz w:val="22"/>
          <w:szCs w:val="22"/>
        </w:rPr>
      </w:pPr>
      <w:r w:rsidRPr="00102D28">
        <w:rPr>
          <w:rFonts w:ascii="Georgia" w:hAnsi="Georgia" w:cs="Arial"/>
          <w:sz w:val="22"/>
          <w:szCs w:val="22"/>
        </w:rPr>
        <w:t>Cannot infect others</w:t>
      </w:r>
    </w:p>
    <w:p w14:paraId="11890DB4" w14:textId="77777777" w:rsidR="00A1552D" w:rsidRPr="00102D28" w:rsidRDefault="00A1552D" w:rsidP="00F1302D">
      <w:pPr>
        <w:pStyle w:val="NormalWeb"/>
        <w:numPr>
          <w:ilvl w:val="1"/>
          <w:numId w:val="8"/>
        </w:numPr>
        <w:spacing w:before="0" w:beforeAutospacing="0" w:after="0" w:afterAutospacing="0"/>
        <w:ind w:left="1080" w:right="720" w:hanging="540"/>
        <w:rPr>
          <w:rFonts w:ascii="Georgia" w:hAnsi="Georgia" w:cs="Arial"/>
          <w:sz w:val="22"/>
          <w:szCs w:val="22"/>
        </w:rPr>
      </w:pPr>
      <w:r w:rsidRPr="00102D28">
        <w:rPr>
          <w:rFonts w:ascii="Georgia" w:hAnsi="Georgia" w:cs="Arial"/>
          <w:sz w:val="22"/>
          <w:szCs w:val="22"/>
        </w:rPr>
        <w:t>Usually have a positive reaction to the TB skin test</w:t>
      </w:r>
    </w:p>
    <w:p w14:paraId="51DF6C02" w14:textId="77777777" w:rsidR="00A1552D" w:rsidRPr="00102D28" w:rsidRDefault="00A1552D" w:rsidP="00F1302D">
      <w:pPr>
        <w:pStyle w:val="NormalWeb"/>
        <w:numPr>
          <w:ilvl w:val="1"/>
          <w:numId w:val="8"/>
        </w:numPr>
        <w:spacing w:before="0" w:beforeAutospacing="0" w:after="0" w:afterAutospacing="0"/>
        <w:ind w:left="1080" w:right="720" w:hanging="540"/>
        <w:rPr>
          <w:rFonts w:ascii="Georgia" w:hAnsi="Georgia" w:cs="Arial"/>
          <w:sz w:val="22"/>
          <w:szCs w:val="22"/>
        </w:rPr>
      </w:pPr>
      <w:r w:rsidRPr="00102D28">
        <w:rPr>
          <w:rFonts w:ascii="Georgia" w:hAnsi="Georgia" w:cs="Arial"/>
          <w:sz w:val="22"/>
          <w:szCs w:val="22"/>
        </w:rPr>
        <w:t>Usually have a negative chest X-ray and no clinical symptoms of TB</w:t>
      </w:r>
    </w:p>
    <w:p w14:paraId="033F7CB8" w14:textId="77777777" w:rsidR="00A1552D" w:rsidRPr="00102D28" w:rsidRDefault="00A1552D" w:rsidP="00F1302D">
      <w:pPr>
        <w:pStyle w:val="NormalWeb"/>
        <w:numPr>
          <w:ilvl w:val="1"/>
          <w:numId w:val="8"/>
        </w:numPr>
        <w:spacing w:before="0" w:beforeAutospacing="0" w:after="0" w:afterAutospacing="0"/>
        <w:ind w:left="1080" w:right="720" w:hanging="540"/>
        <w:rPr>
          <w:rFonts w:ascii="Georgia" w:hAnsi="Georgia" w:cs="Arial"/>
          <w:sz w:val="22"/>
          <w:szCs w:val="22"/>
        </w:rPr>
      </w:pPr>
      <w:r w:rsidRPr="00102D28">
        <w:rPr>
          <w:rFonts w:ascii="Georgia" w:hAnsi="Georgia" w:cs="Arial"/>
          <w:sz w:val="22"/>
          <w:szCs w:val="22"/>
        </w:rPr>
        <w:t>Have tubercle bacilli in their bodies</w:t>
      </w:r>
    </w:p>
    <w:p w14:paraId="35A05937" w14:textId="77777777" w:rsidR="00A1552D" w:rsidRPr="00102D28" w:rsidRDefault="00A1552D" w:rsidP="00F1302D">
      <w:pPr>
        <w:pStyle w:val="NormalWeb"/>
        <w:numPr>
          <w:ilvl w:val="1"/>
          <w:numId w:val="8"/>
        </w:numPr>
        <w:spacing w:before="0" w:beforeAutospacing="0" w:after="0" w:afterAutospacing="0"/>
        <w:ind w:left="1080" w:right="720" w:hanging="540"/>
        <w:rPr>
          <w:rFonts w:ascii="Georgia" w:hAnsi="Georgia" w:cs="Arial"/>
          <w:sz w:val="22"/>
          <w:szCs w:val="22"/>
        </w:rPr>
      </w:pPr>
      <w:r w:rsidRPr="00102D28">
        <w:rPr>
          <w:rFonts w:ascii="Georgia" w:hAnsi="Georgia" w:cs="Arial"/>
          <w:sz w:val="22"/>
          <w:szCs w:val="22"/>
        </w:rPr>
        <w:t>These tubercle bacilli remain viable and capable of producing active disease at any time</w:t>
      </w:r>
    </w:p>
    <w:p w14:paraId="638B5990" w14:textId="77777777" w:rsidR="00A1552D" w:rsidRPr="00102D28" w:rsidRDefault="00A1552D" w:rsidP="00F1302D">
      <w:pPr>
        <w:pStyle w:val="NormalWeb"/>
        <w:numPr>
          <w:ilvl w:val="0"/>
          <w:numId w:val="8"/>
        </w:numPr>
        <w:spacing w:before="0" w:beforeAutospacing="0" w:after="0" w:afterAutospacing="0"/>
        <w:ind w:left="540" w:right="720" w:hanging="540"/>
        <w:rPr>
          <w:rFonts w:ascii="Georgia" w:hAnsi="Georgia" w:cs="Arial"/>
          <w:sz w:val="22"/>
          <w:szCs w:val="22"/>
        </w:rPr>
      </w:pPr>
      <w:r w:rsidRPr="00102D28">
        <w:rPr>
          <w:rFonts w:ascii="Georgia" w:hAnsi="Georgia" w:cs="Arial"/>
          <w:sz w:val="22"/>
          <w:szCs w:val="22"/>
        </w:rPr>
        <w:t xml:space="preserve">According to Dr. </w:t>
      </w:r>
      <w:r w:rsidRPr="00102D28">
        <w:rPr>
          <w:rStyle w:val="Strong"/>
          <w:rFonts w:ascii="Georgia" w:hAnsi="Georgia" w:cs="Arial"/>
          <w:b w:val="0"/>
          <w:bCs w:val="0"/>
          <w:sz w:val="22"/>
          <w:szCs w:val="22"/>
        </w:rPr>
        <w:t xml:space="preserve">Raymond B Otero, </w:t>
      </w:r>
      <w:r w:rsidRPr="00102D28">
        <w:rPr>
          <w:rFonts w:ascii="Georgia" w:hAnsi="Georgia" w:cs="Arial"/>
          <w:sz w:val="22"/>
          <w:szCs w:val="22"/>
        </w:rPr>
        <w:t xml:space="preserve">(1999), TB disease does not develop in everyone who is infected. In the United States, about 90% of infected persons remain infected for life and never develop symptoms of TB. </w:t>
      </w:r>
    </w:p>
    <w:p w14:paraId="37C2A340" w14:textId="77777777" w:rsidR="008A1161" w:rsidRDefault="008A1161" w:rsidP="00F666DD">
      <w:pPr>
        <w:spacing w:after="0" w:line="240" w:lineRule="auto"/>
        <w:rPr>
          <w:rFonts w:ascii="Avenir" w:hAnsi="Avenir" w:cs="Arial"/>
          <w:b/>
          <w:sz w:val="24"/>
        </w:rPr>
      </w:pPr>
    </w:p>
    <w:p w14:paraId="07143228" w14:textId="2A4F1AC4" w:rsidR="007D240F" w:rsidRPr="00F666DD" w:rsidRDefault="007D240F" w:rsidP="008A1161">
      <w:pPr>
        <w:spacing w:after="0" w:line="360" w:lineRule="auto"/>
        <w:rPr>
          <w:rFonts w:ascii="Avenir" w:hAnsi="Avenir" w:cs="Arial"/>
          <w:b/>
          <w:sz w:val="24"/>
        </w:rPr>
      </w:pPr>
      <w:r w:rsidRPr="00F666DD">
        <w:rPr>
          <w:rFonts w:ascii="Avenir" w:hAnsi="Avenir" w:cs="Arial"/>
          <w:b/>
          <w:sz w:val="24"/>
        </w:rPr>
        <w:t>Procedure</w:t>
      </w:r>
    </w:p>
    <w:p w14:paraId="2CD4E41A" w14:textId="77777777" w:rsidR="00A1552D" w:rsidRPr="00102D28" w:rsidRDefault="00A1552D" w:rsidP="00F1302D">
      <w:pPr>
        <w:numPr>
          <w:ilvl w:val="0"/>
          <w:numId w:val="10"/>
        </w:numPr>
        <w:spacing w:after="0" w:line="240" w:lineRule="auto"/>
        <w:ind w:left="540" w:hanging="540"/>
        <w:rPr>
          <w:rFonts w:ascii="Georgia" w:hAnsi="Georgia" w:cs="Arial"/>
        </w:rPr>
      </w:pPr>
      <w:r w:rsidRPr="00102D28">
        <w:rPr>
          <w:rFonts w:ascii="Georgia" w:hAnsi="Georgia" w:cs="Arial"/>
        </w:rPr>
        <w:t>TB Facility Risk Assessment will be done for skilled nursing facilities and assisted living facilities initially then annually to ensure:</w:t>
      </w:r>
    </w:p>
    <w:p w14:paraId="7E3F7C6E"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Proper implementation of the TB infection control plan</w:t>
      </w:r>
    </w:p>
    <w:p w14:paraId="649570A2"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Ongoing TB training and education for Health Care Workers (HCW)</w:t>
      </w:r>
    </w:p>
    <w:p w14:paraId="540EED9D" w14:textId="77777777" w:rsidR="00A1552D" w:rsidRPr="00102D28" w:rsidRDefault="00A1552D" w:rsidP="00F1302D">
      <w:pPr>
        <w:numPr>
          <w:ilvl w:val="0"/>
          <w:numId w:val="10"/>
        </w:numPr>
        <w:spacing w:after="0" w:line="240" w:lineRule="auto"/>
        <w:ind w:left="540" w:hanging="540"/>
        <w:rPr>
          <w:rFonts w:ascii="Georgia" w:hAnsi="Georgia" w:cs="Arial"/>
        </w:rPr>
      </w:pPr>
      <w:r w:rsidRPr="00102D28">
        <w:rPr>
          <w:rFonts w:ascii="Georgia" w:hAnsi="Georgia" w:cs="Arial"/>
        </w:rPr>
        <w:t>Director of Nursing or designee will oversee TB infection control program</w:t>
      </w:r>
    </w:p>
    <w:p w14:paraId="5BBE760D" w14:textId="77777777" w:rsidR="00A1552D" w:rsidRPr="00102D28" w:rsidRDefault="00A1552D" w:rsidP="00F1302D">
      <w:pPr>
        <w:numPr>
          <w:ilvl w:val="0"/>
          <w:numId w:val="10"/>
        </w:numPr>
        <w:spacing w:after="0" w:line="240" w:lineRule="auto"/>
        <w:ind w:left="540" w:hanging="540"/>
        <w:rPr>
          <w:rFonts w:ascii="Georgia" w:hAnsi="Georgia" w:cs="Arial"/>
        </w:rPr>
      </w:pPr>
      <w:r w:rsidRPr="00102D28">
        <w:rPr>
          <w:rFonts w:ascii="Georgia" w:hAnsi="Georgia" w:cs="Arial"/>
        </w:rPr>
        <w:lastRenderedPageBreak/>
        <w:t xml:space="preserve">A two-step PPD (purified protein derivative - 5 units) should be administered to all </w:t>
      </w:r>
      <w:r w:rsidRPr="00102D28">
        <w:rPr>
          <w:rFonts w:ascii="Georgia" w:hAnsi="Georgia" w:cs="Arial"/>
          <w:i/>
          <w:u w:val="single"/>
        </w:rPr>
        <w:t>new residents upon admission, new employees prior to working and new volunteers that put in 10 or more hours per month</w:t>
      </w:r>
      <w:r w:rsidRPr="00102D28">
        <w:rPr>
          <w:rFonts w:ascii="Georgia" w:hAnsi="Georgia" w:cs="Arial"/>
        </w:rPr>
        <w:t>, unless they have documentation of a previous positive reaction. All tests must be recorded in mm of induration.</w:t>
      </w:r>
    </w:p>
    <w:p w14:paraId="34C3BEA5" w14:textId="77777777" w:rsidR="00A1552D" w:rsidRPr="00102D28" w:rsidRDefault="00A1552D" w:rsidP="00F1302D">
      <w:pPr>
        <w:numPr>
          <w:ilvl w:val="0"/>
          <w:numId w:val="10"/>
        </w:numPr>
        <w:spacing w:after="0" w:line="240" w:lineRule="auto"/>
        <w:ind w:left="540" w:hanging="540"/>
        <w:rPr>
          <w:rFonts w:ascii="Georgia" w:hAnsi="Georgia" w:cs="Arial"/>
        </w:rPr>
      </w:pPr>
      <w:r w:rsidRPr="00102D28">
        <w:rPr>
          <w:rFonts w:ascii="Georgia" w:hAnsi="Georgia" w:cs="Arial"/>
        </w:rPr>
        <w:t>Employees:</w:t>
      </w:r>
    </w:p>
    <w:p w14:paraId="54758553"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 xml:space="preserve"> A positive finding is when the lesion measures ≥10mm from edge to edge. </w:t>
      </w:r>
    </w:p>
    <w:p w14:paraId="3B88A2A2"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 xml:space="preserve">If the new employee can provide documentation of a negative TST within the last year (past 12 months), only a one step test is required.   </w:t>
      </w:r>
    </w:p>
    <w:p w14:paraId="03D406C2"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New employees with a previous positive reaction or a history of treatment for TB disease will be assessed for TB symptoms. If the employee does not exhibit symptoms, the assessment will become a part of their file. If the employee exhibits any signs of TB disease, a referral for a chest x-ray will be made and the employee will not start work until cleared by a physician.</w:t>
      </w:r>
    </w:p>
    <w:p w14:paraId="7813F526"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There is no exemption for pregnant women. As stated in the CDC “</w:t>
      </w:r>
      <w:r w:rsidRPr="00102D28">
        <w:rPr>
          <w:rFonts w:ascii="Georgia" w:hAnsi="Georgia" w:cs="Arial"/>
          <w:bCs/>
        </w:rPr>
        <w:t xml:space="preserve">Guidelines for Preventing the Transmission of </w:t>
      </w:r>
      <w:r w:rsidRPr="00102D28">
        <w:rPr>
          <w:rFonts w:ascii="Georgia" w:hAnsi="Georgia" w:cs="Arial"/>
          <w:bCs/>
          <w:i/>
          <w:iCs/>
        </w:rPr>
        <w:t xml:space="preserve">Mycobacterium tuberculosis </w:t>
      </w:r>
      <w:r w:rsidRPr="00102D28">
        <w:rPr>
          <w:rFonts w:ascii="Georgia" w:hAnsi="Georgia" w:cs="Arial"/>
          <w:bCs/>
        </w:rPr>
        <w:t>in Health-Care Settings, 2005, Vol. 54/No. RR-17, pp. 49-50, “</w:t>
      </w:r>
      <w:r w:rsidRPr="00102D28">
        <w:rPr>
          <w:rFonts w:ascii="Georgia" w:hAnsi="Georgia" w:cs="Arial"/>
          <w:color w:val="000000"/>
        </w:rPr>
        <w:t>No evidence exists that the TST has adverse effects on the preg</w:t>
      </w:r>
      <w:r w:rsidRPr="00102D28">
        <w:rPr>
          <w:rFonts w:ascii="Georgia" w:hAnsi="Georgia" w:cs="Arial"/>
          <w:color w:val="000000"/>
        </w:rPr>
        <w:softHyphen/>
        <w:t>nant mother or fetus (</w:t>
      </w:r>
      <w:r w:rsidRPr="00102D28">
        <w:rPr>
          <w:rFonts w:ascii="Georgia" w:hAnsi="Georgia" w:cs="Arial"/>
          <w:i/>
          <w:iCs/>
          <w:color w:val="000000"/>
        </w:rPr>
        <w:t>39</w:t>
      </w:r>
      <w:r w:rsidRPr="00102D28">
        <w:rPr>
          <w:rFonts w:ascii="Georgia" w:hAnsi="Georgia" w:cs="Arial"/>
          <w:color w:val="000000"/>
        </w:rPr>
        <w:t>). Pregnant HCWs should be included in serial skin testing as part of an infection</w:t>
      </w:r>
      <w:r w:rsidRPr="00102D28">
        <w:rPr>
          <w:rFonts w:ascii="Georgia" w:hAnsi="Georgia" w:cs="Arial"/>
          <w:color w:val="000000"/>
        </w:rPr>
        <w:noBreakHyphen/>
        <w:t>control program or a contact investigation because no contraindication for skin testing exists (</w:t>
      </w:r>
      <w:r w:rsidRPr="00102D28">
        <w:rPr>
          <w:rFonts w:ascii="Georgia" w:hAnsi="Georgia" w:cs="Arial"/>
          <w:i/>
          <w:iCs/>
          <w:color w:val="000000"/>
        </w:rPr>
        <w:t>342</w:t>
      </w:r>
      <w:r w:rsidRPr="00102D28">
        <w:rPr>
          <w:rFonts w:ascii="Georgia" w:hAnsi="Georgia" w:cs="Arial"/>
          <w:color w:val="000000"/>
        </w:rPr>
        <w:t xml:space="preserve">). Guidelines issued by the American College of Obstetricians and Gynecologists (ACOG) emphasize that postponement of the diagnosis of infection with </w:t>
      </w:r>
      <w:r w:rsidRPr="00102D28">
        <w:rPr>
          <w:rFonts w:ascii="Georgia" w:hAnsi="Georgia" w:cs="Arial"/>
          <w:i/>
          <w:iCs/>
          <w:color w:val="000000"/>
        </w:rPr>
        <w:t xml:space="preserve">M. tuberculosis </w:t>
      </w:r>
      <w:r w:rsidRPr="00102D28">
        <w:rPr>
          <w:rFonts w:ascii="Georgia" w:hAnsi="Georgia" w:cs="Arial"/>
          <w:color w:val="000000"/>
        </w:rPr>
        <w:t>during pregnancy is unacceptable (</w:t>
      </w:r>
      <w:r w:rsidRPr="00102D28">
        <w:rPr>
          <w:rFonts w:ascii="Georgia" w:hAnsi="Georgia" w:cs="Arial"/>
          <w:i/>
          <w:iCs/>
          <w:color w:val="000000"/>
        </w:rPr>
        <w:t>343</w:t>
      </w:r>
      <w:r w:rsidRPr="00102D28">
        <w:rPr>
          <w:rFonts w:ascii="Georgia" w:hAnsi="Georgia" w:cs="Arial"/>
          <w:color w:val="000000"/>
        </w:rPr>
        <w:t>).”</w:t>
      </w:r>
    </w:p>
    <w:p w14:paraId="30B0A73F"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 xml:space="preserve">Results of healthcare worker’s (HCW) PPD testing should be recorded in the individual HCW’s employee record. </w:t>
      </w:r>
    </w:p>
    <w:p w14:paraId="040CD9DB" w14:textId="77777777" w:rsidR="00A1552D" w:rsidRPr="00102D28" w:rsidRDefault="00A1552D" w:rsidP="008A1161">
      <w:pPr>
        <w:numPr>
          <w:ilvl w:val="2"/>
          <w:numId w:val="10"/>
        </w:numPr>
        <w:spacing w:after="0" w:line="240" w:lineRule="auto"/>
        <w:ind w:left="1440" w:hanging="360"/>
        <w:rPr>
          <w:rFonts w:ascii="Georgia" w:hAnsi="Georgia" w:cs="Arial"/>
        </w:rPr>
      </w:pPr>
      <w:r w:rsidRPr="00102D28">
        <w:rPr>
          <w:rFonts w:ascii="Georgia" w:hAnsi="Georgia" w:cs="Arial"/>
        </w:rPr>
        <w:t xml:space="preserve">After baseline testing for infection with </w:t>
      </w:r>
      <w:r w:rsidRPr="00102D28">
        <w:rPr>
          <w:rFonts w:ascii="Georgia" w:hAnsi="Georgia" w:cs="Arial"/>
          <w:i/>
        </w:rPr>
        <w:t>M. tuberculosis</w:t>
      </w:r>
      <w:r w:rsidRPr="00102D28">
        <w:rPr>
          <w:rFonts w:ascii="Georgia" w:hAnsi="Georgia" w:cs="Arial"/>
        </w:rPr>
        <w:t>, additional TB screening is</w:t>
      </w:r>
      <w:r w:rsidRPr="00102D28">
        <w:rPr>
          <w:rFonts w:ascii="Georgia" w:hAnsi="Georgia" w:cs="Arial"/>
          <w:b/>
        </w:rPr>
        <w:t xml:space="preserve"> not</w:t>
      </w:r>
      <w:r w:rsidRPr="00102D28">
        <w:rPr>
          <w:rFonts w:ascii="Georgia" w:hAnsi="Georgia" w:cs="Arial"/>
        </w:rPr>
        <w:t xml:space="preserve"> necessary unless an exposure to </w:t>
      </w:r>
      <w:r w:rsidRPr="00102D28">
        <w:rPr>
          <w:rFonts w:ascii="Georgia" w:hAnsi="Georgia" w:cs="Arial"/>
          <w:i/>
        </w:rPr>
        <w:t xml:space="preserve">M. tuberculosis </w:t>
      </w:r>
      <w:r w:rsidRPr="00102D28">
        <w:rPr>
          <w:rFonts w:ascii="Georgia" w:hAnsi="Georgia" w:cs="Arial"/>
        </w:rPr>
        <w:t>occurs.</w:t>
      </w:r>
      <w:r w:rsidRPr="00102D28">
        <w:rPr>
          <w:rFonts w:ascii="Georgia" w:hAnsi="Georgia" w:cs="Arial"/>
          <w:i/>
        </w:rPr>
        <w:t xml:space="preserve"> </w:t>
      </w:r>
    </w:p>
    <w:p w14:paraId="7C0E6259" w14:textId="77777777" w:rsidR="00A1552D" w:rsidRPr="00102D28" w:rsidRDefault="00A1552D" w:rsidP="008A1161">
      <w:pPr>
        <w:numPr>
          <w:ilvl w:val="2"/>
          <w:numId w:val="10"/>
        </w:numPr>
        <w:spacing w:after="0" w:line="240" w:lineRule="auto"/>
        <w:ind w:left="1440" w:hanging="360"/>
        <w:rPr>
          <w:rFonts w:ascii="Georgia" w:hAnsi="Georgia" w:cs="Arial"/>
        </w:rPr>
      </w:pPr>
      <w:r w:rsidRPr="00102D28">
        <w:rPr>
          <w:rFonts w:ascii="Georgia" w:hAnsi="Georgia" w:cs="Arial"/>
        </w:rPr>
        <w:t>HCWs with a baseline positive or newly positive test result for TB infection should receive one chest x-ray result to exclude TB disease or an interpretable copy within a reasonable timeframe such as 6 months. Repeat chest x-rays are not needed unless signs or symptoms of TB develop.</w:t>
      </w:r>
    </w:p>
    <w:p w14:paraId="4EDFEE96"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 xml:space="preserve">All results should be confidential. </w:t>
      </w:r>
    </w:p>
    <w:p w14:paraId="7FD0CCE0"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 xml:space="preserve">PPD conversion rates should be examined at appropriate intervals to estimate the risk of TB exposure. </w:t>
      </w:r>
    </w:p>
    <w:p w14:paraId="0850AC28" w14:textId="77777777" w:rsidR="00A1552D" w:rsidRPr="00102D28" w:rsidRDefault="00A1552D" w:rsidP="008A1161">
      <w:pPr>
        <w:numPr>
          <w:ilvl w:val="2"/>
          <w:numId w:val="10"/>
        </w:numPr>
        <w:spacing w:after="0" w:line="240" w:lineRule="auto"/>
        <w:ind w:left="1440" w:hanging="360"/>
        <w:rPr>
          <w:rFonts w:ascii="Georgia" w:hAnsi="Georgia" w:cs="Arial"/>
        </w:rPr>
      </w:pPr>
      <w:r w:rsidRPr="00102D28">
        <w:rPr>
          <w:rFonts w:ascii="Georgia" w:hAnsi="Georgia" w:cs="Arial"/>
        </w:rPr>
        <w:t>To calculate PPD conversion rates, the total number of previously PPD negative HCW’s tested in each area or group (i.e., the denominator) and the number of PPD skin conversions among HCW’s in each area or group (i.e., the numerator) must be obtained.</w:t>
      </w:r>
    </w:p>
    <w:p w14:paraId="19E93AE6" w14:textId="77777777" w:rsidR="00A1552D" w:rsidRPr="00102D28" w:rsidRDefault="00A1552D" w:rsidP="00F1302D">
      <w:pPr>
        <w:numPr>
          <w:ilvl w:val="0"/>
          <w:numId w:val="10"/>
        </w:numPr>
        <w:spacing w:after="0" w:line="240" w:lineRule="auto"/>
        <w:ind w:left="540" w:hanging="540"/>
        <w:rPr>
          <w:rFonts w:ascii="Georgia" w:hAnsi="Georgia" w:cs="Arial"/>
        </w:rPr>
      </w:pPr>
      <w:r w:rsidRPr="00102D28">
        <w:rPr>
          <w:rFonts w:ascii="Georgia" w:hAnsi="Georgia" w:cs="Arial"/>
        </w:rPr>
        <w:t xml:space="preserve">All facilities (SNF and AL) that are assessed as low risk for TB infection, DO NOT need to administer routine annual TB tests to employees or residents. </w:t>
      </w:r>
    </w:p>
    <w:p w14:paraId="23853E28" w14:textId="77777777" w:rsidR="00A1552D" w:rsidRPr="00102D28" w:rsidRDefault="00A1552D" w:rsidP="00F1302D">
      <w:pPr>
        <w:numPr>
          <w:ilvl w:val="0"/>
          <w:numId w:val="10"/>
        </w:numPr>
        <w:spacing w:after="0" w:line="240" w:lineRule="auto"/>
        <w:ind w:left="540" w:hanging="540"/>
        <w:rPr>
          <w:rFonts w:ascii="Georgia" w:hAnsi="Georgia" w:cs="Arial"/>
        </w:rPr>
      </w:pPr>
      <w:r w:rsidRPr="00102D28">
        <w:rPr>
          <w:rFonts w:ascii="Georgia" w:hAnsi="Georgia" w:cs="Arial"/>
        </w:rPr>
        <w:t>An assessment for prompt recognition and evaluation of suspected TB consists of assessing for signs and symptoms of TB which are: fatigue, losses of appetite, weight loss, fever and night sweats. In addition to the general signs and symptoms, pulmonary TB usually causes cough, chest pain, coughing up sputum, and sometimes coughing up blood (hemoptysis).</w:t>
      </w:r>
    </w:p>
    <w:p w14:paraId="49AE4BA3" w14:textId="77777777" w:rsidR="00A1552D" w:rsidRPr="00102D28" w:rsidRDefault="00A1552D" w:rsidP="00F1302D">
      <w:pPr>
        <w:numPr>
          <w:ilvl w:val="0"/>
          <w:numId w:val="10"/>
        </w:numPr>
        <w:spacing w:after="0" w:line="240" w:lineRule="auto"/>
        <w:ind w:left="540" w:hanging="540"/>
        <w:rPr>
          <w:rFonts w:ascii="Georgia" w:eastAsia="Arial Unicode MS" w:hAnsi="Georgia" w:cs="Arial"/>
        </w:rPr>
      </w:pPr>
      <w:r w:rsidRPr="00102D28">
        <w:rPr>
          <w:rFonts w:ascii="Georgia" w:hAnsi="Georgia" w:cs="Arial"/>
        </w:rPr>
        <w:t>A problem evaluation will be completed if a case of suspected or confirmed TB disease is not promptly recognized, separated from others and transferred. The evaluation will be done in accordance with the “</w:t>
      </w:r>
      <w:r w:rsidRPr="00102D28">
        <w:rPr>
          <w:rFonts w:ascii="Georgia" w:hAnsi="Georgia" w:cs="Arial"/>
          <w:bCs/>
        </w:rPr>
        <w:t xml:space="preserve">Guidelines for Preventing the Transmission of </w:t>
      </w:r>
      <w:r w:rsidRPr="00102D28">
        <w:rPr>
          <w:rFonts w:ascii="Georgia" w:hAnsi="Georgia" w:cs="Arial"/>
          <w:bCs/>
          <w:i/>
          <w:iCs/>
        </w:rPr>
        <w:t xml:space="preserve">Mycobacterium tuberculosis </w:t>
      </w:r>
      <w:r w:rsidRPr="00102D28">
        <w:rPr>
          <w:rFonts w:ascii="Georgia" w:hAnsi="Georgia" w:cs="Arial"/>
          <w:bCs/>
        </w:rPr>
        <w:t>in Health-Care Settings, 2005, Vol. 54/No. RR-17, beginning on page 32.”</w:t>
      </w:r>
    </w:p>
    <w:p w14:paraId="3E989484" w14:textId="77777777" w:rsidR="00F1302D" w:rsidRDefault="00A1552D" w:rsidP="00F1302D">
      <w:pPr>
        <w:numPr>
          <w:ilvl w:val="0"/>
          <w:numId w:val="10"/>
        </w:numPr>
        <w:spacing w:after="0" w:line="240" w:lineRule="auto"/>
        <w:ind w:left="540" w:hanging="540"/>
        <w:rPr>
          <w:rFonts w:ascii="Georgia" w:hAnsi="Georgia" w:cs="Arial"/>
        </w:rPr>
        <w:sectPr w:rsidR="00F1302D" w:rsidSect="00F1302D">
          <w:headerReference w:type="default" r:id="rId7"/>
          <w:footerReference w:type="even" r:id="rId8"/>
          <w:footerReference w:type="default" r:id="rId9"/>
          <w:pgSz w:w="12240" w:h="15840"/>
          <w:pgMar w:top="1440" w:right="1440" w:bottom="1440" w:left="1440" w:header="720" w:footer="720" w:gutter="0"/>
          <w:cols w:space="720"/>
          <w:docGrid w:linePitch="360"/>
        </w:sectPr>
      </w:pPr>
      <w:r w:rsidRPr="00102D28">
        <w:rPr>
          <w:rFonts w:ascii="Georgia" w:hAnsi="Georgia" w:cs="Arial"/>
        </w:rPr>
        <w:t>A contact investigation should begin as soon as the laboratory or hospital reports positive acid-fast smears or cultures to the health care facility</w:t>
      </w:r>
      <w:r w:rsidR="00F1302D">
        <w:rPr>
          <w:rFonts w:ascii="Georgia" w:hAnsi="Georgia" w:cs="Arial"/>
        </w:rPr>
        <w:t>.</w:t>
      </w:r>
    </w:p>
    <w:p w14:paraId="7E865FCB" w14:textId="77777777" w:rsidR="00A1552D" w:rsidRPr="00102D28" w:rsidRDefault="00A1552D" w:rsidP="00F1302D">
      <w:pPr>
        <w:spacing w:after="0" w:line="240" w:lineRule="auto"/>
        <w:rPr>
          <w:rFonts w:ascii="Georgia" w:eastAsia="Arial Unicode MS" w:hAnsi="Georgia" w:cs="Arial"/>
        </w:rPr>
      </w:pPr>
    </w:p>
    <w:p w14:paraId="0415F8C5" w14:textId="77777777" w:rsidR="00A1552D" w:rsidRPr="00102D28" w:rsidRDefault="00A1552D" w:rsidP="00F1302D">
      <w:pPr>
        <w:numPr>
          <w:ilvl w:val="1"/>
          <w:numId w:val="10"/>
        </w:numPr>
        <w:spacing w:after="0" w:line="240" w:lineRule="auto"/>
        <w:ind w:left="1080" w:hanging="540"/>
        <w:rPr>
          <w:rFonts w:ascii="Georgia" w:eastAsia="Arial Unicode MS" w:hAnsi="Georgia" w:cs="Arial"/>
        </w:rPr>
      </w:pPr>
      <w:r w:rsidRPr="00102D28">
        <w:rPr>
          <w:rFonts w:ascii="Georgia" w:hAnsi="Georgia" w:cs="Arial"/>
        </w:rPr>
        <w:t xml:space="preserve">All positive smears or cultures need to be reported promptly to the health department by the infection control person. </w:t>
      </w:r>
    </w:p>
    <w:p w14:paraId="59F54128" w14:textId="77777777" w:rsidR="00A1552D" w:rsidRPr="00102D28" w:rsidRDefault="00A1552D" w:rsidP="00F1302D">
      <w:pPr>
        <w:numPr>
          <w:ilvl w:val="1"/>
          <w:numId w:val="10"/>
        </w:numPr>
        <w:spacing w:after="0" w:line="240" w:lineRule="auto"/>
        <w:ind w:left="1080" w:hanging="540"/>
        <w:rPr>
          <w:rFonts w:ascii="Georgia" w:eastAsia="Arial Unicode MS" w:hAnsi="Georgia" w:cs="Arial"/>
        </w:rPr>
      </w:pPr>
      <w:r w:rsidRPr="00102D28">
        <w:rPr>
          <w:rFonts w:ascii="Georgia" w:hAnsi="Georgia" w:cs="Arial"/>
        </w:rPr>
        <w:t xml:space="preserve">If a resident’s medical history and clinical findings suggest TB, the health care facility should not wait for culture results before starting a contact investigation. </w:t>
      </w:r>
    </w:p>
    <w:p w14:paraId="30D18016" w14:textId="77777777" w:rsidR="00A1552D" w:rsidRPr="00102D28" w:rsidRDefault="00A1552D" w:rsidP="00F1302D">
      <w:pPr>
        <w:numPr>
          <w:ilvl w:val="1"/>
          <w:numId w:val="10"/>
        </w:numPr>
        <w:spacing w:after="0" w:line="240" w:lineRule="auto"/>
        <w:ind w:left="1080" w:hanging="540"/>
        <w:rPr>
          <w:rFonts w:ascii="Georgia" w:eastAsia="Arial Unicode MS" w:hAnsi="Georgia" w:cs="Arial"/>
        </w:rPr>
      </w:pPr>
      <w:r w:rsidRPr="00102D28">
        <w:rPr>
          <w:rFonts w:ascii="Georgia" w:hAnsi="Georgia" w:cs="Arial"/>
        </w:rPr>
        <w:t xml:space="preserve">The health department will assist with contact investigations. </w:t>
      </w:r>
    </w:p>
    <w:p w14:paraId="702B9CB0" w14:textId="77777777" w:rsidR="00A1552D" w:rsidRPr="00102D28" w:rsidRDefault="00A1552D" w:rsidP="00F1302D">
      <w:pPr>
        <w:numPr>
          <w:ilvl w:val="1"/>
          <w:numId w:val="10"/>
        </w:numPr>
        <w:spacing w:after="0" w:line="240" w:lineRule="auto"/>
        <w:ind w:left="1080" w:hanging="540"/>
        <w:rPr>
          <w:rFonts w:ascii="Georgia" w:eastAsia="Arial Unicode MS" w:hAnsi="Georgia" w:cs="Arial"/>
        </w:rPr>
      </w:pPr>
      <w:r w:rsidRPr="00102D28">
        <w:rPr>
          <w:rFonts w:ascii="Georgia" w:hAnsi="Georgia" w:cs="Arial"/>
        </w:rPr>
        <w:t xml:space="preserve">The evaluation should start with residents and staff who are most likely to have been infected. The health department can assist with contact investigations. </w:t>
      </w:r>
    </w:p>
    <w:p w14:paraId="5426FDD4"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Close contacts of the suspected or confirmed case(s) should be PPD skin tested (unless already positive or has had one within the past 3 months) initially and if negative, repeat in 12 weeks.</w:t>
      </w:r>
    </w:p>
    <w:p w14:paraId="76E48B73"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 xml:space="preserve">PPD skin tests that are negative after 12 weeks </w:t>
      </w:r>
      <w:proofErr w:type="gramStart"/>
      <w:r w:rsidRPr="00102D28">
        <w:rPr>
          <w:rFonts w:ascii="Georgia" w:hAnsi="Georgia" w:cs="Arial"/>
        </w:rPr>
        <w:t>are considered to be</w:t>
      </w:r>
      <w:proofErr w:type="gramEnd"/>
      <w:r w:rsidRPr="00102D28">
        <w:rPr>
          <w:rFonts w:ascii="Georgia" w:hAnsi="Georgia" w:cs="Arial"/>
        </w:rPr>
        <w:t xml:space="preserve"> uninfected. </w:t>
      </w:r>
    </w:p>
    <w:p w14:paraId="38C6A806"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 xml:space="preserve">Chest radiographs should be made of all positive reactors. </w:t>
      </w:r>
    </w:p>
    <w:p w14:paraId="3828C1BA" w14:textId="77777777" w:rsidR="00A1552D" w:rsidRPr="00102D28" w:rsidRDefault="00A1552D" w:rsidP="008A1161">
      <w:pPr>
        <w:numPr>
          <w:ilvl w:val="2"/>
          <w:numId w:val="10"/>
        </w:numPr>
        <w:spacing w:after="0" w:line="240" w:lineRule="auto"/>
        <w:ind w:left="1440" w:hanging="360"/>
        <w:rPr>
          <w:rFonts w:ascii="Georgia" w:hAnsi="Georgia" w:cs="Arial"/>
        </w:rPr>
      </w:pPr>
      <w:r w:rsidRPr="00102D28">
        <w:rPr>
          <w:rFonts w:ascii="Georgia" w:hAnsi="Georgia" w:cs="Arial"/>
        </w:rPr>
        <w:t xml:space="preserve">If the chest film is positive, cultures should be taken to determine whether the lesions were caused by </w:t>
      </w:r>
      <w:r w:rsidRPr="00102D28">
        <w:rPr>
          <w:rFonts w:ascii="Georgia" w:hAnsi="Georgia" w:cs="Arial"/>
          <w:i/>
          <w:iCs/>
        </w:rPr>
        <w:t>Mycobacterium</w:t>
      </w:r>
      <w:r w:rsidRPr="00102D28">
        <w:rPr>
          <w:rFonts w:ascii="Georgia" w:hAnsi="Georgia" w:cs="Arial"/>
        </w:rPr>
        <w:t xml:space="preserve"> </w:t>
      </w:r>
      <w:r w:rsidRPr="00102D28">
        <w:rPr>
          <w:rFonts w:ascii="Georgia" w:hAnsi="Georgia" w:cs="Arial"/>
          <w:i/>
          <w:iCs/>
        </w:rPr>
        <w:t>tuberculosis.</w:t>
      </w:r>
    </w:p>
    <w:p w14:paraId="0E9CC45B"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Family members should be referred to the local TB clinic or their physician for testing and follow up.</w:t>
      </w:r>
    </w:p>
    <w:p w14:paraId="2F258AFC" w14:textId="77777777" w:rsidR="00A1552D" w:rsidRPr="00102D28" w:rsidRDefault="00A1552D" w:rsidP="00F1302D">
      <w:pPr>
        <w:numPr>
          <w:ilvl w:val="0"/>
          <w:numId w:val="10"/>
        </w:numPr>
        <w:spacing w:after="0" w:line="240" w:lineRule="auto"/>
        <w:ind w:left="540" w:hanging="540"/>
        <w:rPr>
          <w:rFonts w:ascii="Georgia" w:hAnsi="Georgia" w:cs="Arial"/>
        </w:rPr>
      </w:pPr>
      <w:r w:rsidRPr="00102D28">
        <w:rPr>
          <w:rFonts w:ascii="Georgia" w:hAnsi="Georgia" w:cs="Arial"/>
        </w:rPr>
        <w:t xml:space="preserve">Employees who have developed active tuberculosis will be referred to a physician for evaluation and treatment. </w:t>
      </w:r>
    </w:p>
    <w:p w14:paraId="4E51BAAA" w14:textId="77777777" w:rsidR="00A1552D" w:rsidRPr="00102D28" w:rsidRDefault="00A1552D" w:rsidP="00F1302D">
      <w:pPr>
        <w:numPr>
          <w:ilvl w:val="1"/>
          <w:numId w:val="10"/>
        </w:numPr>
        <w:spacing w:after="0" w:line="240" w:lineRule="auto"/>
        <w:ind w:left="1080" w:hanging="540"/>
        <w:rPr>
          <w:rFonts w:ascii="Georgia" w:hAnsi="Georgia" w:cs="Arial"/>
        </w:rPr>
      </w:pPr>
      <w:r w:rsidRPr="00102D28">
        <w:rPr>
          <w:rFonts w:ascii="Georgia" w:hAnsi="Georgia" w:cs="Arial"/>
        </w:rPr>
        <w:t>They may return to work only with written documentation of the presence of negative sputum smears or cultures from a physician.</w:t>
      </w:r>
    </w:p>
    <w:p w14:paraId="3072F2C9" w14:textId="77777777" w:rsidR="00A1552D" w:rsidRPr="00102D28" w:rsidRDefault="00A1552D" w:rsidP="00EB5EA1">
      <w:pPr>
        <w:numPr>
          <w:ilvl w:val="0"/>
          <w:numId w:val="10"/>
        </w:numPr>
        <w:spacing w:after="0" w:line="240" w:lineRule="auto"/>
        <w:ind w:left="540" w:hanging="540"/>
        <w:rPr>
          <w:rFonts w:ascii="Georgia" w:hAnsi="Georgia" w:cs="Arial"/>
        </w:rPr>
      </w:pPr>
      <w:r w:rsidRPr="00102D28">
        <w:rPr>
          <w:rFonts w:ascii="Georgia" w:hAnsi="Georgia" w:cs="Arial"/>
        </w:rPr>
        <w:t>Residents who have developed active tuberculosis will be transported immediately to an acute care setting for inpatient treatment until the presence of negative sputum smears or cultures.</w:t>
      </w:r>
      <w:r w:rsidRPr="00102D28">
        <w:rPr>
          <w:rFonts w:ascii="Georgia" w:hAnsi="Georgia"/>
        </w:rPr>
        <w:t xml:space="preserve"> </w:t>
      </w:r>
      <w:r w:rsidRPr="00102D28">
        <w:rPr>
          <w:rFonts w:ascii="Georgia" w:hAnsi="Georgia" w:cs="Arial"/>
        </w:rPr>
        <w:t>Once the determination has been made, Particulate Respirator Mask N95 (McKesson #46761100-35 per case or #46761102-1 each) will be put on the resident and they will be isolated in area away from others until they can be transported.</w:t>
      </w:r>
    </w:p>
    <w:p w14:paraId="44D8D97E" w14:textId="77777777" w:rsidR="007D240F" w:rsidRPr="007D240F" w:rsidRDefault="007D240F" w:rsidP="007D240F">
      <w:pPr>
        <w:pStyle w:val="ListParagraph"/>
        <w:rPr>
          <w:rFonts w:ascii="Georgia" w:hAnsi="Georgia"/>
          <w:b/>
        </w:rPr>
      </w:pPr>
    </w:p>
    <w:p w14:paraId="4E1C93C2" w14:textId="77777777" w:rsidR="007D240F" w:rsidRPr="00636251" w:rsidRDefault="007D240F" w:rsidP="007D240F">
      <w:pPr>
        <w:rPr>
          <w:rFonts w:ascii="Avenir Medium" w:hAnsi="Avenir Medium"/>
          <w:b/>
        </w:rPr>
      </w:pPr>
      <w:bookmarkStart w:id="0" w:name="_GoBack"/>
      <w:bookmarkEnd w:id="0"/>
    </w:p>
    <w:sectPr w:rsidR="007D240F" w:rsidRPr="00636251" w:rsidSect="00F1302D">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D2686" w14:textId="77777777" w:rsidR="00935CD3" w:rsidRDefault="00935CD3" w:rsidP="00004886">
      <w:pPr>
        <w:spacing w:after="0" w:line="240" w:lineRule="auto"/>
      </w:pPr>
      <w:r>
        <w:separator/>
      </w:r>
    </w:p>
  </w:endnote>
  <w:endnote w:type="continuationSeparator" w:id="0">
    <w:p w14:paraId="4A28A996" w14:textId="77777777" w:rsidR="00935CD3" w:rsidRDefault="00935CD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venir">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Avenir Medium">
    <w:altName w:val="Trebuchet MS"/>
    <w:charset w:val="00"/>
    <w:family w:val="auto"/>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758783002"/>
      <w:docPartObj>
        <w:docPartGallery w:val="Page Numbers (Top of Page)"/>
        <w:docPartUnique/>
      </w:docPartObj>
    </w:sdtPr>
    <w:sdtEndPr/>
    <w:sdtContent>
      <w:p w14:paraId="31751895" w14:textId="77777777" w:rsidR="00EB5EA1" w:rsidRPr="00EB5EA1" w:rsidRDefault="00EB5EA1" w:rsidP="00EB5EA1">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5DCDFE18" w14:textId="77777777" w:rsidR="003A605C" w:rsidRPr="00F1302D" w:rsidRDefault="003A605C" w:rsidP="00F1302D">
            <w:pPr>
              <w:pStyle w:val="Footer"/>
              <w:jc w:val="right"/>
              <w:rPr>
                <w:rFonts w:ascii="Avenir" w:hAnsi="Avenir"/>
              </w:rPr>
            </w:pPr>
            <w:r w:rsidRPr="0091763A">
              <w:rPr>
                <w:rFonts w:ascii="Avenir" w:hAnsi="Avenir"/>
              </w:rPr>
              <w:t xml:space="preserve">Page </w:t>
            </w:r>
            <w:r w:rsidR="007A4200" w:rsidRPr="0091763A">
              <w:rPr>
                <w:rFonts w:ascii="Avenir" w:hAnsi="Avenir"/>
                <w:b/>
                <w:sz w:val="24"/>
                <w:szCs w:val="24"/>
              </w:rPr>
              <w:fldChar w:fldCharType="begin"/>
            </w:r>
            <w:r w:rsidRPr="0091763A">
              <w:rPr>
                <w:rFonts w:ascii="Avenir" w:hAnsi="Avenir"/>
                <w:b/>
              </w:rPr>
              <w:instrText xml:space="preserve"> PAGE </w:instrText>
            </w:r>
            <w:r w:rsidR="007A4200" w:rsidRPr="0091763A">
              <w:rPr>
                <w:rFonts w:ascii="Avenir" w:hAnsi="Avenir"/>
                <w:b/>
                <w:sz w:val="24"/>
                <w:szCs w:val="24"/>
              </w:rPr>
              <w:fldChar w:fldCharType="separate"/>
            </w:r>
            <w:r w:rsidR="00A1552D">
              <w:rPr>
                <w:rFonts w:ascii="Avenir" w:hAnsi="Avenir"/>
                <w:b/>
                <w:noProof/>
              </w:rPr>
              <w:t>1</w:t>
            </w:r>
            <w:r w:rsidR="007A4200" w:rsidRPr="0091763A">
              <w:rPr>
                <w:rFonts w:ascii="Avenir" w:hAnsi="Avenir"/>
                <w:b/>
                <w:sz w:val="24"/>
                <w:szCs w:val="24"/>
              </w:rPr>
              <w:fldChar w:fldCharType="end"/>
            </w:r>
            <w:r w:rsidRPr="0091763A">
              <w:rPr>
                <w:rFonts w:ascii="Avenir" w:hAnsi="Avenir"/>
              </w:rPr>
              <w:t xml:space="preserve"> of </w:t>
            </w:r>
            <w:r w:rsidR="007A4200" w:rsidRPr="0091763A">
              <w:rPr>
                <w:rFonts w:ascii="Avenir" w:hAnsi="Avenir"/>
                <w:b/>
                <w:sz w:val="24"/>
                <w:szCs w:val="24"/>
              </w:rPr>
              <w:fldChar w:fldCharType="begin"/>
            </w:r>
            <w:r w:rsidRPr="0091763A">
              <w:rPr>
                <w:rFonts w:ascii="Avenir" w:hAnsi="Avenir"/>
                <w:b/>
              </w:rPr>
              <w:instrText xml:space="preserve"> NUMPAGES  </w:instrText>
            </w:r>
            <w:r w:rsidR="007A4200" w:rsidRPr="0091763A">
              <w:rPr>
                <w:rFonts w:ascii="Avenir" w:hAnsi="Avenir"/>
                <w:b/>
                <w:sz w:val="24"/>
                <w:szCs w:val="24"/>
              </w:rPr>
              <w:fldChar w:fldCharType="separate"/>
            </w:r>
            <w:r w:rsidR="00A1552D">
              <w:rPr>
                <w:rFonts w:ascii="Avenir" w:hAnsi="Avenir"/>
                <w:b/>
                <w:noProof/>
              </w:rPr>
              <w:t>4</w:t>
            </w:r>
            <w:r w:rsidR="007A4200"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7FCBE" w14:textId="77777777" w:rsidR="00935CD3" w:rsidRDefault="00935CD3" w:rsidP="00004886">
      <w:pPr>
        <w:spacing w:after="0" w:line="240" w:lineRule="auto"/>
      </w:pPr>
      <w:r>
        <w:separator/>
      </w:r>
    </w:p>
  </w:footnote>
  <w:footnote w:type="continuationSeparator" w:id="0">
    <w:p w14:paraId="50F5BD71" w14:textId="77777777" w:rsidR="00935CD3" w:rsidRDefault="00935CD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C883" w14:textId="77777777" w:rsidR="003A605C" w:rsidRDefault="00325B32"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1D6FE7AF" wp14:editId="6917DFB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D908A" w14:textId="77777777" w:rsidR="003A605C" w:rsidRPr="0091763A" w:rsidRDefault="00823DDC" w:rsidP="00004886">
                          <w:pPr>
                            <w:jc w:val="right"/>
                            <w:rPr>
                              <w:rFonts w:ascii="Avenir" w:hAnsi="Avenir"/>
                              <w:sz w:val="32"/>
                              <w:szCs w:val="32"/>
                            </w:rPr>
                          </w:pPr>
                          <w:r>
                            <w:rPr>
                              <w:rFonts w:ascii="Avenir" w:hAnsi="Avenir"/>
                              <w:sz w:val="32"/>
                              <w:szCs w:val="32"/>
                            </w:rPr>
                            <w:t>S</w:t>
                          </w:r>
                          <w:r w:rsidR="00597493">
                            <w:rPr>
                              <w:rFonts w:ascii="Avenir" w:hAnsi="Avenir"/>
                              <w:sz w:val="32"/>
                              <w:szCs w:val="32"/>
                            </w:rPr>
                            <w:t>NF</w:t>
                          </w:r>
                          <w:r>
                            <w:rPr>
                              <w:rFonts w:ascii="Avenir" w:hAnsi="Avenir"/>
                              <w:sz w:val="32"/>
                              <w:szCs w:val="32"/>
                            </w:rPr>
                            <w:t xml:space="preserve">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6FE7AF"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038D908A" w14:textId="77777777" w:rsidR="003A605C" w:rsidRPr="0091763A" w:rsidRDefault="00823DDC" w:rsidP="00004886">
                    <w:pPr>
                      <w:jc w:val="right"/>
                      <w:rPr>
                        <w:rFonts w:ascii="Avenir" w:hAnsi="Avenir"/>
                        <w:sz w:val="32"/>
                        <w:szCs w:val="32"/>
                      </w:rPr>
                    </w:pPr>
                    <w:r>
                      <w:rPr>
                        <w:rFonts w:ascii="Avenir" w:hAnsi="Avenir"/>
                        <w:sz w:val="32"/>
                        <w:szCs w:val="32"/>
                      </w:rPr>
                      <w:t>S</w:t>
                    </w:r>
                    <w:r w:rsidR="00597493">
                      <w:rPr>
                        <w:rFonts w:ascii="Avenir" w:hAnsi="Avenir"/>
                        <w:sz w:val="32"/>
                        <w:szCs w:val="32"/>
                      </w:rPr>
                      <w:t>NF</w:t>
                    </w:r>
                    <w:r>
                      <w:rPr>
                        <w:rFonts w:ascii="Avenir" w:hAnsi="Avenir"/>
                        <w:sz w:val="32"/>
                        <w:szCs w:val="32"/>
                      </w:rPr>
                      <w:t xml:space="preserve"> Nursing</w:t>
                    </w:r>
                    <w:r w:rsidR="003A605C" w:rsidRPr="0091763A">
                      <w:rPr>
                        <w:rFonts w:ascii="Avenir" w:hAnsi="Avenir"/>
                        <w:sz w:val="32"/>
                        <w:szCs w:val="32"/>
                      </w:rPr>
                      <w:t xml:space="preserve"> Policy</w:t>
                    </w:r>
                  </w:p>
                </w:txbxContent>
              </v:textbox>
            </v:shape>
          </w:pict>
        </mc:Fallback>
      </mc:AlternateContent>
    </w:r>
    <w:r w:rsidR="00857EA6">
      <w:rPr>
        <w:noProof/>
      </w:rPr>
      <w:drawing>
        <wp:inline distT="0" distB="0" distL="0" distR="0" wp14:anchorId="53ED6F34" wp14:editId="56CFF8ED">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3119"/>
      <w:gridCol w:w="3108"/>
    </w:tblGrid>
    <w:tr w:rsidR="00FD2D9C" w:rsidRPr="00004886" w14:paraId="074C9A09" w14:textId="77777777" w:rsidTr="00FD2D9C">
      <w:trPr>
        <w:trHeight w:val="432"/>
      </w:trPr>
      <w:tc>
        <w:tcPr>
          <w:tcW w:w="9350" w:type="dxa"/>
          <w:gridSpan w:val="3"/>
          <w:shd w:val="clear" w:color="auto" w:fill="D9D9D9" w:themeFill="background1" w:themeFillShade="D9"/>
          <w:vAlign w:val="center"/>
        </w:tcPr>
        <w:p w14:paraId="446C3C28" w14:textId="77777777" w:rsidR="00FD2D9C" w:rsidRPr="0091763A" w:rsidRDefault="00FD2D9C" w:rsidP="00FD2D9C">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FD2D9C" w:rsidRPr="00004886" w14:paraId="3247A98E" w14:textId="77777777" w:rsidTr="00FD2D9C">
      <w:trPr>
        <w:trHeight w:val="432"/>
      </w:trPr>
      <w:tc>
        <w:tcPr>
          <w:tcW w:w="9350" w:type="dxa"/>
          <w:gridSpan w:val="3"/>
          <w:vAlign w:val="center"/>
        </w:tcPr>
        <w:p w14:paraId="20BDF408" w14:textId="77777777" w:rsidR="00FD2D9C" w:rsidRPr="00383057" w:rsidRDefault="00FD2D9C" w:rsidP="00FD2D9C">
          <w:pPr>
            <w:spacing w:after="0" w:line="240" w:lineRule="auto"/>
            <w:rPr>
              <w:rFonts w:ascii="Georgia" w:eastAsiaTheme="minorHAnsi" w:hAnsi="Georgia" w:cstheme="minorBidi"/>
            </w:rPr>
          </w:pPr>
          <w:r>
            <w:rPr>
              <w:rFonts w:ascii="Georgia" w:eastAsiaTheme="minorHAnsi" w:hAnsi="Georgia" w:cstheme="minorBidi"/>
            </w:rPr>
            <w:t>TB Exposure Control Plan</w:t>
          </w:r>
        </w:p>
      </w:tc>
    </w:tr>
    <w:tr w:rsidR="00017F74" w:rsidRPr="00004886" w14:paraId="6807C749" w14:textId="77777777" w:rsidTr="00FD2D9C">
      <w:tc>
        <w:tcPr>
          <w:tcW w:w="3123" w:type="dxa"/>
          <w:shd w:val="clear" w:color="auto" w:fill="D9D9D9" w:themeFill="background1" w:themeFillShade="D9"/>
        </w:tcPr>
        <w:p w14:paraId="02406D7A"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7CB4A05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08" w:type="dxa"/>
          <w:shd w:val="clear" w:color="auto" w:fill="D9D9D9" w:themeFill="background1" w:themeFillShade="D9"/>
        </w:tcPr>
        <w:p w14:paraId="3877D3D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456059A" w14:textId="77777777" w:rsidTr="00FD2D9C">
      <w:tc>
        <w:tcPr>
          <w:tcW w:w="3123" w:type="dxa"/>
        </w:tcPr>
        <w:p w14:paraId="0D751AFB" w14:textId="5A0B63BE" w:rsidR="00017F74" w:rsidRPr="00383057" w:rsidRDefault="00A1552D" w:rsidP="00D755F0">
          <w:pPr>
            <w:spacing w:after="0" w:line="240" w:lineRule="auto"/>
            <w:rPr>
              <w:rFonts w:ascii="Georgia" w:eastAsiaTheme="minorHAnsi" w:hAnsi="Georgia" w:cstheme="minorBidi"/>
            </w:rPr>
          </w:pPr>
          <w:r>
            <w:rPr>
              <w:rFonts w:ascii="Georgia" w:eastAsiaTheme="minorHAnsi" w:hAnsi="Georgia" w:cstheme="minorBidi"/>
            </w:rPr>
            <w:t>12/</w:t>
          </w:r>
          <w:r w:rsidR="008A1161">
            <w:rPr>
              <w:rFonts w:ascii="Georgia" w:eastAsiaTheme="minorHAnsi" w:hAnsi="Georgia" w:cstheme="minorBidi"/>
            </w:rPr>
            <w:t>01/</w:t>
          </w:r>
          <w:r>
            <w:rPr>
              <w:rFonts w:ascii="Georgia" w:eastAsiaTheme="minorHAnsi" w:hAnsi="Georgia" w:cstheme="minorBidi"/>
            </w:rPr>
            <w:t>2003</w:t>
          </w:r>
        </w:p>
      </w:tc>
      <w:tc>
        <w:tcPr>
          <w:tcW w:w="3119" w:type="dxa"/>
          <w:tcMar>
            <w:top w:w="115" w:type="dxa"/>
            <w:left w:w="115" w:type="dxa"/>
            <w:bottom w:w="115" w:type="dxa"/>
            <w:right w:w="115" w:type="dxa"/>
          </w:tcMar>
        </w:tcPr>
        <w:p w14:paraId="6098D265" w14:textId="486424F0" w:rsidR="00017F74" w:rsidRPr="00383057" w:rsidRDefault="00916693" w:rsidP="00D755F0">
          <w:pPr>
            <w:spacing w:after="0" w:line="240" w:lineRule="auto"/>
            <w:rPr>
              <w:rFonts w:ascii="Georgia" w:eastAsiaTheme="minorHAnsi" w:hAnsi="Georgia" w:cstheme="minorBidi"/>
            </w:rPr>
          </w:pPr>
          <w:r>
            <w:rPr>
              <w:rFonts w:ascii="Georgia" w:eastAsiaTheme="minorHAnsi" w:hAnsi="Georgia" w:cstheme="minorBidi"/>
            </w:rPr>
            <w:t>03/</w:t>
          </w:r>
          <w:r w:rsidR="008A1161">
            <w:rPr>
              <w:rFonts w:ascii="Georgia" w:eastAsiaTheme="minorHAnsi" w:hAnsi="Georgia" w:cstheme="minorBidi"/>
            </w:rPr>
            <w:t>2</w:t>
          </w:r>
          <w:r>
            <w:rPr>
              <w:rFonts w:ascii="Georgia" w:eastAsiaTheme="minorHAnsi" w:hAnsi="Georgia" w:cstheme="minorBidi"/>
            </w:rPr>
            <w:t>9/2</w:t>
          </w:r>
          <w:r w:rsidR="00FD2D9C">
            <w:rPr>
              <w:rFonts w:ascii="Georgia" w:eastAsiaTheme="minorHAnsi" w:hAnsi="Georgia" w:cstheme="minorBidi"/>
            </w:rPr>
            <w:t>02</w:t>
          </w:r>
          <w:r w:rsidR="008A1161">
            <w:rPr>
              <w:rFonts w:ascii="Georgia" w:eastAsiaTheme="minorHAnsi" w:hAnsi="Georgia" w:cstheme="minorBidi"/>
            </w:rPr>
            <w:t>3</w:t>
          </w:r>
        </w:p>
      </w:tc>
      <w:tc>
        <w:tcPr>
          <w:tcW w:w="3108" w:type="dxa"/>
        </w:tcPr>
        <w:p w14:paraId="61CC43E8" w14:textId="1455EA19" w:rsidR="00017F74" w:rsidRPr="00383057" w:rsidRDefault="00916693" w:rsidP="00D755F0">
          <w:pPr>
            <w:spacing w:after="0" w:line="240" w:lineRule="auto"/>
            <w:rPr>
              <w:rFonts w:ascii="Georgia" w:eastAsiaTheme="minorHAnsi" w:hAnsi="Georgia" w:cstheme="minorBidi"/>
            </w:rPr>
          </w:pPr>
          <w:r>
            <w:rPr>
              <w:rFonts w:ascii="Georgia" w:eastAsiaTheme="minorHAnsi" w:hAnsi="Georgia" w:cstheme="minorBidi"/>
            </w:rPr>
            <w:t>03/</w:t>
          </w:r>
          <w:r w:rsidR="008A1161">
            <w:rPr>
              <w:rFonts w:ascii="Georgia" w:eastAsiaTheme="minorHAnsi" w:hAnsi="Georgia" w:cstheme="minorBidi"/>
            </w:rPr>
            <w:t>2</w:t>
          </w:r>
          <w:r w:rsidR="00FD2D9C">
            <w:rPr>
              <w:rFonts w:ascii="Georgia" w:eastAsiaTheme="minorHAnsi" w:hAnsi="Georgia" w:cstheme="minorBidi"/>
            </w:rPr>
            <w:t>9/20</w:t>
          </w:r>
          <w:r>
            <w:rPr>
              <w:rFonts w:ascii="Georgia" w:eastAsiaTheme="minorHAnsi" w:hAnsi="Georgia" w:cstheme="minorBidi"/>
            </w:rPr>
            <w:t>2</w:t>
          </w:r>
          <w:r w:rsidR="00F82483">
            <w:rPr>
              <w:rFonts w:ascii="Georgia" w:eastAsiaTheme="minorHAnsi" w:hAnsi="Georgia" w:cstheme="minorBidi"/>
            </w:rPr>
            <w:t>5</w:t>
          </w:r>
        </w:p>
      </w:tc>
    </w:tr>
    <w:tr w:rsidR="00FD2D9C" w:rsidRPr="00004886" w14:paraId="64EDE54F" w14:textId="77777777" w:rsidTr="00FD2D9C">
      <w:trPr>
        <w:trHeight w:val="432"/>
      </w:trPr>
      <w:tc>
        <w:tcPr>
          <w:tcW w:w="9350" w:type="dxa"/>
          <w:gridSpan w:val="3"/>
          <w:shd w:val="clear" w:color="auto" w:fill="D9D9D9" w:themeFill="background1" w:themeFillShade="D9"/>
          <w:vAlign w:val="center"/>
        </w:tcPr>
        <w:p w14:paraId="2321DB7C" w14:textId="77777777" w:rsidR="00FD2D9C" w:rsidRPr="0091763A" w:rsidRDefault="00FD2D9C" w:rsidP="00FD2D9C">
          <w:pPr>
            <w:spacing w:after="0" w:line="240" w:lineRule="auto"/>
            <w:rPr>
              <w:rFonts w:ascii="Avenir" w:eastAsiaTheme="minorHAnsi" w:hAnsi="Avenir" w:cstheme="minorBidi"/>
              <w:b/>
            </w:rPr>
          </w:pPr>
          <w:r w:rsidRPr="0091763A">
            <w:rPr>
              <w:rFonts w:ascii="Avenir" w:eastAsiaTheme="minorHAnsi" w:hAnsi="Avenir" w:cstheme="minorBidi"/>
              <w:b/>
            </w:rPr>
            <w:t>A</w:t>
          </w:r>
          <w:r w:rsidR="00792173">
            <w:rPr>
              <w:rFonts w:ascii="Avenir" w:eastAsiaTheme="minorHAnsi" w:hAnsi="Avenir" w:cstheme="minorBidi"/>
              <w:b/>
            </w:rPr>
            <w:t>uthor &amp; A</w:t>
          </w:r>
          <w:r w:rsidRPr="0091763A">
            <w:rPr>
              <w:rFonts w:ascii="Avenir" w:eastAsiaTheme="minorHAnsi" w:hAnsi="Avenir" w:cstheme="minorBidi"/>
              <w:b/>
            </w:rPr>
            <w:t>pprover Title</w:t>
          </w:r>
        </w:p>
      </w:tc>
    </w:tr>
    <w:tr w:rsidR="00FD2D9C" w:rsidRPr="00004886" w14:paraId="5A46CEF7" w14:textId="77777777" w:rsidTr="00FD2D9C">
      <w:trPr>
        <w:trHeight w:val="432"/>
      </w:trPr>
      <w:tc>
        <w:tcPr>
          <w:tcW w:w="9350" w:type="dxa"/>
          <w:gridSpan w:val="3"/>
          <w:vAlign w:val="center"/>
        </w:tcPr>
        <w:p w14:paraId="1582E98F" w14:textId="77777777" w:rsidR="00FD2D9C" w:rsidRPr="00383057" w:rsidRDefault="00FD2D9C" w:rsidP="00FD2D9C">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3F92F8FE" w14:textId="77777777" w:rsidTr="00FD2D9C">
      <w:tc>
        <w:tcPr>
          <w:tcW w:w="9350" w:type="dxa"/>
          <w:gridSpan w:val="3"/>
          <w:shd w:val="clear" w:color="auto" w:fill="D9D9D9" w:themeFill="background1" w:themeFillShade="D9"/>
          <w:tcMar>
            <w:top w:w="115" w:type="dxa"/>
            <w:left w:w="115" w:type="dxa"/>
            <w:bottom w:w="115" w:type="dxa"/>
            <w:right w:w="115" w:type="dxa"/>
          </w:tcMar>
        </w:tcPr>
        <w:p w14:paraId="697EC686"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7DB210C0" w14:textId="77777777" w:rsidTr="00FD2D9C">
      <w:tc>
        <w:tcPr>
          <w:tcW w:w="9350" w:type="dxa"/>
          <w:gridSpan w:val="3"/>
          <w:shd w:val="clear" w:color="auto" w:fill="auto"/>
          <w:tcMar>
            <w:top w:w="115" w:type="dxa"/>
            <w:left w:w="115" w:type="dxa"/>
            <w:bottom w:w="115" w:type="dxa"/>
            <w:right w:w="115" w:type="dxa"/>
          </w:tcMar>
        </w:tcPr>
        <w:p w14:paraId="0466FAD9" w14:textId="77777777" w:rsidR="00017F74" w:rsidRPr="00383057" w:rsidRDefault="00017F74" w:rsidP="00D755F0">
          <w:pPr>
            <w:spacing w:after="0" w:line="240" w:lineRule="auto"/>
            <w:rPr>
              <w:rFonts w:ascii="Georgia" w:eastAsiaTheme="minorHAnsi" w:hAnsi="Georgia" w:cstheme="minorBidi"/>
            </w:rPr>
          </w:pPr>
        </w:p>
      </w:tc>
    </w:tr>
  </w:tbl>
  <w:p w14:paraId="33397F40"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0F0E" w14:textId="77777777" w:rsidR="00F1302D" w:rsidRDefault="00F1302D" w:rsidP="00004886">
    <w:pPr>
      <w:pStyle w:val="Header"/>
      <w:ind w:left="-720"/>
    </w:pPr>
  </w:p>
  <w:p w14:paraId="24F85C7C" w14:textId="77777777" w:rsidR="00F1302D" w:rsidRDefault="00F1302D"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5D66"/>
    <w:multiLevelType w:val="hybridMultilevel"/>
    <w:tmpl w:val="CF988A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C0F4CACC"/>
    <w:lvl w:ilvl="0" w:tplc="4A0ACD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1565D"/>
    <w:multiLevelType w:val="hybridMultilevel"/>
    <w:tmpl w:val="E03ACD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13BA9"/>
    <w:multiLevelType w:val="hybridMultilevel"/>
    <w:tmpl w:val="63F65328"/>
    <w:lvl w:ilvl="0" w:tplc="04090015">
      <w:start w:val="1"/>
      <w:numFmt w:val="upperLetter"/>
      <w:lvlText w:val="%1."/>
      <w:lvlJc w:val="left"/>
      <w:pPr>
        <w:ind w:left="1080" w:hanging="360"/>
      </w:pPr>
    </w:lvl>
    <w:lvl w:ilvl="1" w:tplc="56402EEE">
      <w:start w:val="1"/>
      <w:numFmt w:val="decimal"/>
      <w:lvlText w:val="%2."/>
      <w:lvlJc w:val="left"/>
      <w:pPr>
        <w:ind w:left="1800" w:hanging="360"/>
      </w:pPr>
      <w:rPr>
        <w:rFonts w:ascii="Georgia" w:eastAsia="Georgia" w:hAnsi="Georgia" w:hint="default"/>
        <w:spacing w:val="1"/>
        <w:sz w:val="22"/>
        <w:szCs w:val="22"/>
      </w:rPr>
    </w:lvl>
    <w:lvl w:ilvl="2" w:tplc="82E06BA4">
      <w:start w:val="1"/>
      <w:numFmt w:val="lowerRoman"/>
      <w:lvlText w:val="%3."/>
      <w:lvlJc w:val="lef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A8C77C4"/>
    <w:multiLevelType w:val="hybridMultilevel"/>
    <w:tmpl w:val="B9EAE6EA"/>
    <w:lvl w:ilvl="0" w:tplc="04090015">
      <w:start w:val="1"/>
      <w:numFmt w:val="upperLetter"/>
      <w:lvlText w:val="%1."/>
      <w:lvlJc w:val="left"/>
      <w:pPr>
        <w:ind w:left="1080" w:hanging="360"/>
      </w:pPr>
    </w:lvl>
    <w:lvl w:ilvl="1" w:tplc="56402EEE">
      <w:start w:val="1"/>
      <w:numFmt w:val="decimal"/>
      <w:lvlText w:val="%2."/>
      <w:lvlJc w:val="left"/>
      <w:pPr>
        <w:ind w:left="1800" w:hanging="360"/>
      </w:pPr>
      <w:rPr>
        <w:rFonts w:ascii="Georgia" w:eastAsia="Georgia" w:hAnsi="Georgia" w:hint="default"/>
        <w:spacing w:val="1"/>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7E7B09"/>
    <w:multiLevelType w:val="hybridMultilevel"/>
    <w:tmpl w:val="206400C0"/>
    <w:lvl w:ilvl="0" w:tplc="04090015">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0267E9"/>
    <w:multiLevelType w:val="hybridMultilevel"/>
    <w:tmpl w:val="5CE8CC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9"/>
  </w:num>
  <w:num w:numId="3">
    <w:abstractNumId w:val="4"/>
  </w:num>
  <w:num w:numId="4">
    <w:abstractNumId w:val="6"/>
  </w:num>
  <w:num w:numId="5">
    <w:abstractNumId w:val="8"/>
  </w:num>
  <w:num w:numId="6">
    <w:abstractNumId w:val="7"/>
  </w:num>
  <w:num w:numId="7">
    <w:abstractNumId w:val="2"/>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2174C0"/>
    <w:rsid w:val="002D790C"/>
    <w:rsid w:val="00325B32"/>
    <w:rsid w:val="00361EB5"/>
    <w:rsid w:val="00366B62"/>
    <w:rsid w:val="00383057"/>
    <w:rsid w:val="003A605C"/>
    <w:rsid w:val="00496194"/>
    <w:rsid w:val="004F7E1E"/>
    <w:rsid w:val="00526296"/>
    <w:rsid w:val="00597493"/>
    <w:rsid w:val="005F509E"/>
    <w:rsid w:val="006318B2"/>
    <w:rsid w:val="00636251"/>
    <w:rsid w:val="00641263"/>
    <w:rsid w:val="0064513A"/>
    <w:rsid w:val="006772EC"/>
    <w:rsid w:val="00721119"/>
    <w:rsid w:val="00752351"/>
    <w:rsid w:val="00792173"/>
    <w:rsid w:val="007A4200"/>
    <w:rsid w:val="007D240F"/>
    <w:rsid w:val="00806F6F"/>
    <w:rsid w:val="00823DDC"/>
    <w:rsid w:val="00857EA6"/>
    <w:rsid w:val="008A1161"/>
    <w:rsid w:val="008B5E89"/>
    <w:rsid w:val="008F49D4"/>
    <w:rsid w:val="00914055"/>
    <w:rsid w:val="00916693"/>
    <w:rsid w:val="0091763A"/>
    <w:rsid w:val="009342A6"/>
    <w:rsid w:val="00935CD3"/>
    <w:rsid w:val="00973E11"/>
    <w:rsid w:val="00A1552D"/>
    <w:rsid w:val="00AD67FC"/>
    <w:rsid w:val="00B5065F"/>
    <w:rsid w:val="00BA51C0"/>
    <w:rsid w:val="00BE15B1"/>
    <w:rsid w:val="00C70850"/>
    <w:rsid w:val="00DD17C5"/>
    <w:rsid w:val="00E547EA"/>
    <w:rsid w:val="00E810E1"/>
    <w:rsid w:val="00EB5EA1"/>
    <w:rsid w:val="00F107CD"/>
    <w:rsid w:val="00F1302D"/>
    <w:rsid w:val="00F53FEA"/>
    <w:rsid w:val="00F666DD"/>
    <w:rsid w:val="00F82483"/>
    <w:rsid w:val="00FC02DC"/>
    <w:rsid w:val="00FD2D9C"/>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CFA1"/>
  <w15:docId w15:val="{ADDAE900-6D93-4A4D-871E-A722E4BC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styleId="NormalWeb">
    <w:name w:val="Normal (Web)"/>
    <w:basedOn w:val="Normal"/>
    <w:uiPriority w:val="99"/>
    <w:semiHidden/>
    <w:rsid w:val="00A1552D"/>
    <w:pPr>
      <w:spacing w:before="100" w:beforeAutospacing="1" w:after="100" w:afterAutospacing="1" w:line="240" w:lineRule="auto"/>
    </w:pPr>
    <w:rPr>
      <w:rFonts w:ascii="Arial Unicode MS" w:eastAsia="Arial Unicode MS" w:hAnsi="Arial Unicode MS" w:cs="Arial Unicode MS"/>
      <w:sz w:val="24"/>
      <w:szCs w:val="24"/>
    </w:rPr>
  </w:style>
  <w:style w:type="character" w:styleId="Strong">
    <w:name w:val="Strong"/>
    <w:qFormat/>
    <w:rsid w:val="00A1552D"/>
    <w:rPr>
      <w:b/>
      <w:bCs/>
    </w:rPr>
  </w:style>
  <w:style w:type="paragraph" w:customStyle="1" w:styleId="Default">
    <w:name w:val="Default"/>
    <w:rsid w:val="00325B3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1021</Words>
  <Characters>5821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2023-03-29T14:02:00Z</dcterms:created>
  <dcterms:modified xsi:type="dcterms:W3CDTF">2023-03-29T14:30:00Z</dcterms:modified>
</cp:coreProperties>
</file>