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42467" w14:textId="77777777" w:rsidR="00004851" w:rsidRPr="000C0172" w:rsidRDefault="00004851" w:rsidP="00D5294C">
      <w:pPr>
        <w:pStyle w:val="Heading3"/>
        <w:rPr>
          <w:rFonts w:ascii="Avenir" w:hAnsi="Avenir"/>
          <w:caps w:val="0"/>
        </w:rPr>
      </w:pPr>
      <w:r w:rsidRPr="000C0172">
        <w:rPr>
          <w:rFonts w:ascii="Avenir" w:hAnsi="Avenir"/>
          <w:caps w:val="0"/>
        </w:rPr>
        <w:t>PURPOSE</w:t>
      </w:r>
    </w:p>
    <w:p w14:paraId="40D57A2E" w14:textId="77777777" w:rsidR="00004851" w:rsidRPr="000C0172" w:rsidRDefault="00004851" w:rsidP="00D5294C">
      <w:pPr>
        <w:pStyle w:val="Heading3"/>
        <w:rPr>
          <w:rFonts w:ascii="Avenir" w:hAnsi="Avenir"/>
          <w:sz w:val="16"/>
          <w:szCs w:val="16"/>
        </w:rPr>
      </w:pPr>
    </w:p>
    <w:p w14:paraId="58BD0CCD" w14:textId="52ECE447" w:rsidR="00004851" w:rsidRDefault="005C7A61" w:rsidP="00D5294C">
      <w:pPr>
        <w:spacing w:after="0" w:line="240" w:lineRule="auto"/>
        <w:rPr>
          <w:rFonts w:ascii="Georgia" w:hAnsi="Georgia"/>
        </w:rPr>
      </w:pPr>
      <w:r w:rsidRPr="00F02915">
        <w:rPr>
          <w:rFonts w:ascii="Georgia" w:hAnsi="Georgia"/>
        </w:rPr>
        <w:t>To outline the process of assessing professional a</w:t>
      </w:r>
      <w:r>
        <w:rPr>
          <w:rFonts w:ascii="Georgia" w:hAnsi="Georgia"/>
        </w:rPr>
        <w:t>nd paraprofessional competence.</w:t>
      </w:r>
    </w:p>
    <w:p w14:paraId="64FE5FF1" w14:textId="77777777" w:rsidR="00D5294C" w:rsidRPr="00247F2F" w:rsidRDefault="00D5294C" w:rsidP="00D5294C">
      <w:pPr>
        <w:spacing w:after="0" w:line="240" w:lineRule="auto"/>
        <w:rPr>
          <w:rFonts w:ascii="Georgia" w:hAnsi="Georgia"/>
        </w:rPr>
      </w:pPr>
    </w:p>
    <w:p w14:paraId="67A1095C" w14:textId="77777777" w:rsidR="00004851" w:rsidRDefault="005C7A61" w:rsidP="00D5294C">
      <w:pPr>
        <w:pStyle w:val="Heading3"/>
        <w:rPr>
          <w:rFonts w:ascii="Avenir" w:hAnsi="Avenir"/>
        </w:rPr>
      </w:pPr>
      <w:r>
        <w:rPr>
          <w:rFonts w:ascii="Avenir" w:hAnsi="Avenir"/>
        </w:rPr>
        <w:t>POLICy</w:t>
      </w:r>
    </w:p>
    <w:p w14:paraId="27F0F60D" w14:textId="77777777" w:rsidR="005C7A61" w:rsidRPr="005C7A61" w:rsidRDefault="005C7A61" w:rsidP="00D5294C">
      <w:pPr>
        <w:pStyle w:val="Heading3"/>
        <w:rPr>
          <w:rFonts w:ascii="Georgia" w:hAnsi="Georgia"/>
          <w:sz w:val="16"/>
          <w:szCs w:val="22"/>
        </w:rPr>
      </w:pPr>
    </w:p>
    <w:p w14:paraId="621C0C37" w14:textId="77777777" w:rsidR="005C7A61" w:rsidRPr="00F02915" w:rsidRDefault="005C7A61" w:rsidP="00D5294C">
      <w:pPr>
        <w:spacing w:after="0" w:line="240" w:lineRule="auto"/>
        <w:rPr>
          <w:rFonts w:ascii="Georgia" w:hAnsi="Georgia"/>
        </w:rPr>
      </w:pPr>
      <w:r w:rsidRPr="00F02915">
        <w:rPr>
          <w:rFonts w:ascii="Georgia" w:hAnsi="Georgia"/>
        </w:rPr>
        <w:t>The competence of all organization clinical personnel will be assessed during orientation,</w:t>
      </w:r>
      <w:r>
        <w:rPr>
          <w:rFonts w:ascii="Georgia" w:hAnsi="Georgia"/>
        </w:rPr>
        <w:t xml:space="preserve"> during the probationary period and</w:t>
      </w:r>
      <w:r w:rsidRPr="00F02915">
        <w:rPr>
          <w:rFonts w:ascii="Georgia" w:hAnsi="Georgia"/>
        </w:rPr>
        <w:t xml:space="preserve"> periodically throughout the course of the year.  Educational activities will be based, in part, on the outcome</w:t>
      </w:r>
      <w:r>
        <w:rPr>
          <w:rFonts w:ascii="Georgia" w:hAnsi="Georgia"/>
        </w:rPr>
        <w:t>s of the competency evaluation.</w:t>
      </w:r>
    </w:p>
    <w:p w14:paraId="690D7C5C" w14:textId="77777777" w:rsidR="005C7A61" w:rsidRDefault="005C7A61" w:rsidP="00D5294C">
      <w:pPr>
        <w:pStyle w:val="Heading3"/>
        <w:rPr>
          <w:rFonts w:ascii="Georgia" w:hAnsi="Georgia"/>
          <w:b w:val="0"/>
          <w:caps w:val="0"/>
          <w:sz w:val="22"/>
        </w:rPr>
      </w:pPr>
      <w:r w:rsidRPr="005C7A61">
        <w:rPr>
          <w:rFonts w:ascii="Georgia" w:hAnsi="Georgia"/>
          <w:b w:val="0"/>
          <w:caps w:val="0"/>
          <w:sz w:val="22"/>
        </w:rPr>
        <w:t>Competency of supervisors and/or management staff will be assessed by the individual’s immediate supervisor and may include peer review as a component of the process.</w:t>
      </w:r>
    </w:p>
    <w:p w14:paraId="4568C238" w14:textId="77777777" w:rsidR="005C7A61" w:rsidRDefault="005C7A61" w:rsidP="00D5294C">
      <w:pPr>
        <w:pStyle w:val="Heading3"/>
        <w:rPr>
          <w:rFonts w:ascii="Georgia" w:hAnsi="Georgia"/>
          <w:b w:val="0"/>
          <w:caps w:val="0"/>
          <w:sz w:val="22"/>
        </w:rPr>
      </w:pPr>
    </w:p>
    <w:p w14:paraId="5EEFAE4A" w14:textId="77777777" w:rsidR="005C7A61" w:rsidRDefault="005C7A61" w:rsidP="00D5294C">
      <w:pPr>
        <w:pStyle w:val="Heading4"/>
        <w:rPr>
          <w:rFonts w:ascii="Georgia" w:hAnsi="Georgia"/>
        </w:rPr>
      </w:pPr>
      <w:r w:rsidRPr="00F02915">
        <w:rPr>
          <w:rFonts w:ascii="Georgia" w:hAnsi="Georgia"/>
        </w:rPr>
        <w:t>Orientation and Probationary Period</w:t>
      </w:r>
    </w:p>
    <w:p w14:paraId="2BFE45D2" w14:textId="77777777" w:rsidR="005C7A61" w:rsidRPr="005C7A61" w:rsidRDefault="005C7A61" w:rsidP="00D5294C">
      <w:pPr>
        <w:spacing w:after="0" w:line="240" w:lineRule="auto"/>
        <w:rPr>
          <w:rFonts w:ascii="Georgia" w:hAnsi="Georgia"/>
          <w:sz w:val="16"/>
        </w:rPr>
      </w:pPr>
    </w:p>
    <w:p w14:paraId="54C94335" w14:textId="77777777" w:rsidR="005C7A61" w:rsidRPr="005C7A61" w:rsidRDefault="005C7A61" w:rsidP="00D5294C">
      <w:pPr>
        <w:pStyle w:val="BodyTextIndent"/>
        <w:numPr>
          <w:ilvl w:val="0"/>
          <w:numId w:val="19"/>
        </w:numPr>
        <w:rPr>
          <w:rFonts w:ascii="Georgia" w:hAnsi="Georgia"/>
        </w:rPr>
      </w:pPr>
      <w:r w:rsidRPr="005C7A61">
        <w:rPr>
          <w:rFonts w:ascii="Georgia" w:hAnsi="Georgia"/>
        </w:rPr>
        <w:t>As part of the orientation process, a preceptor will be assigned to each new person.</w:t>
      </w:r>
    </w:p>
    <w:p w14:paraId="482431C1" w14:textId="77777777" w:rsidR="005C7A61" w:rsidRPr="005C7A61" w:rsidRDefault="005C7A61" w:rsidP="00D5294C">
      <w:pPr>
        <w:pStyle w:val="BodyTextIndent"/>
        <w:numPr>
          <w:ilvl w:val="0"/>
          <w:numId w:val="19"/>
        </w:numPr>
        <w:rPr>
          <w:rFonts w:ascii="Georgia" w:hAnsi="Georgia"/>
        </w:rPr>
      </w:pPr>
      <w:r w:rsidRPr="005C7A61">
        <w:rPr>
          <w:rFonts w:ascii="Georgia" w:hAnsi="Georgia"/>
        </w:rPr>
        <w:t>Using a Competency Skills Performance Checklist, and/or the Orientation Checklist, the preceptor will evaluate the required skills and activities.</w:t>
      </w:r>
    </w:p>
    <w:p w14:paraId="2F95895D" w14:textId="77777777" w:rsidR="005C7A61" w:rsidRDefault="005C7A61" w:rsidP="00D5294C">
      <w:pPr>
        <w:pStyle w:val="Heading3"/>
        <w:rPr>
          <w:rFonts w:ascii="Georgia" w:hAnsi="Georgia"/>
          <w:b w:val="0"/>
          <w:caps w:val="0"/>
          <w:sz w:val="22"/>
        </w:rPr>
      </w:pPr>
    </w:p>
    <w:p w14:paraId="649A2072" w14:textId="77777777" w:rsidR="005C7A61" w:rsidRDefault="005C7A61" w:rsidP="00D5294C">
      <w:pPr>
        <w:pStyle w:val="Heading4"/>
        <w:rPr>
          <w:rFonts w:ascii="Georgia" w:hAnsi="Georgia"/>
        </w:rPr>
      </w:pPr>
      <w:bookmarkStart w:id="0" w:name="_GoBack"/>
      <w:bookmarkEnd w:id="0"/>
      <w:r w:rsidRPr="00F02915">
        <w:rPr>
          <w:rFonts w:ascii="Georgia" w:hAnsi="Georgia"/>
        </w:rPr>
        <w:t>Ongoing Assessments</w:t>
      </w:r>
    </w:p>
    <w:p w14:paraId="07DBA06A" w14:textId="77777777" w:rsidR="005C7A61" w:rsidRPr="005C7A61" w:rsidRDefault="005C7A61" w:rsidP="00D5294C">
      <w:pPr>
        <w:spacing w:after="0" w:line="240" w:lineRule="auto"/>
      </w:pPr>
    </w:p>
    <w:p w14:paraId="0FA5C4AC" w14:textId="77777777" w:rsidR="005C7A61" w:rsidRPr="00F02915" w:rsidRDefault="005C7A61" w:rsidP="00D5294C">
      <w:pPr>
        <w:pStyle w:val="BodyTextIndent"/>
        <w:numPr>
          <w:ilvl w:val="0"/>
          <w:numId w:val="20"/>
        </w:numPr>
        <w:tabs>
          <w:tab w:val="clear" w:pos="795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>Competency assessments will be completed at least one (1) time per year.  Additional competencies may be required for performance issues, new technology, or other appropriate indications.</w:t>
      </w:r>
    </w:p>
    <w:p w14:paraId="6576BCDE" w14:textId="77777777" w:rsidR="005C7A61" w:rsidRPr="00F02915" w:rsidRDefault="005C7A61" w:rsidP="00D5294C">
      <w:pPr>
        <w:pStyle w:val="BodyTextIndent"/>
        <w:numPr>
          <w:ilvl w:val="0"/>
          <w:numId w:val="20"/>
        </w:numPr>
        <w:tabs>
          <w:tab w:val="clear" w:pos="795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>Using</w:t>
      </w:r>
      <w:r>
        <w:rPr>
          <w:rFonts w:ascii="Georgia" w:hAnsi="Georgia"/>
        </w:rPr>
        <w:t xml:space="preserve"> a Competency</w:t>
      </w:r>
      <w:r w:rsidRPr="00F02915">
        <w:rPr>
          <w:rFonts w:ascii="Georgia" w:hAnsi="Georgia"/>
        </w:rPr>
        <w:t xml:space="preserve"> Checklist developed specifically for each clinical job category, the Clinical Supervisor</w:t>
      </w:r>
      <w:r>
        <w:rPr>
          <w:rFonts w:ascii="Georgia" w:hAnsi="Georgia"/>
        </w:rPr>
        <w:t xml:space="preserve"> or designee</w:t>
      </w:r>
      <w:r w:rsidRPr="00F02915">
        <w:rPr>
          <w:rFonts w:ascii="Georgia" w:hAnsi="Georgia"/>
        </w:rPr>
        <w:t xml:space="preserve"> will evaluate the competence in performing and rendering care according to organization policies and standards of practice.</w:t>
      </w:r>
    </w:p>
    <w:p w14:paraId="17388E4E" w14:textId="77777777" w:rsidR="005C7A61" w:rsidRPr="00F02915" w:rsidRDefault="005C7A61" w:rsidP="00D5294C">
      <w:pPr>
        <w:pStyle w:val="BodyTextIndent"/>
        <w:numPr>
          <w:ilvl w:val="0"/>
          <w:numId w:val="20"/>
        </w:numPr>
        <w:tabs>
          <w:tab w:val="clear" w:pos="795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>Clini</w:t>
      </w:r>
      <w:r>
        <w:rPr>
          <w:rFonts w:ascii="Georgia" w:hAnsi="Georgia"/>
        </w:rPr>
        <w:t xml:space="preserve">cal personnel will make a </w:t>
      </w:r>
      <w:r w:rsidRPr="00F02915">
        <w:rPr>
          <w:rFonts w:ascii="Georgia" w:hAnsi="Georgia"/>
        </w:rPr>
        <w:t>visit of like discipline annually for direct observation assessment.</w:t>
      </w:r>
    </w:p>
    <w:p w14:paraId="6FB81143" w14:textId="7588D7B4" w:rsidR="005C7A61" w:rsidRPr="00F02915" w:rsidRDefault="005C7A61" w:rsidP="00D5294C">
      <w:pPr>
        <w:pStyle w:val="BodyTextIndent"/>
        <w:numPr>
          <w:ilvl w:val="0"/>
          <w:numId w:val="20"/>
        </w:numPr>
        <w:tabs>
          <w:tab w:val="clear" w:pos="795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t xml:space="preserve">Based on the identified clinical needs during reviews, the </w:t>
      </w:r>
      <w:r w:rsidR="00C0389A" w:rsidRPr="00F02915">
        <w:rPr>
          <w:rFonts w:ascii="Georgia" w:hAnsi="Georgia"/>
        </w:rPr>
        <w:t>Inservice</w:t>
      </w:r>
      <w:r w:rsidRPr="00F02915">
        <w:rPr>
          <w:rFonts w:ascii="Georgia" w:hAnsi="Georgia"/>
        </w:rPr>
        <w:t xml:space="preserve"> education plan will incorporate training on issues where trends and patterns are identified for all personnel.</w:t>
      </w:r>
    </w:p>
    <w:p w14:paraId="037B29C2" w14:textId="2054D6C3" w:rsidR="005C7A61" w:rsidRPr="00F02915" w:rsidRDefault="005C7A61" w:rsidP="00D5294C">
      <w:pPr>
        <w:pStyle w:val="BodyTextIndent"/>
        <w:numPr>
          <w:ilvl w:val="0"/>
          <w:numId w:val="20"/>
        </w:numPr>
        <w:tabs>
          <w:tab w:val="clear" w:pos="795"/>
        </w:tabs>
        <w:ind w:left="432" w:hanging="432"/>
        <w:rPr>
          <w:rFonts w:ascii="Georgia" w:hAnsi="Georgia"/>
        </w:rPr>
      </w:pPr>
      <w:r w:rsidRPr="00F02915">
        <w:rPr>
          <w:rFonts w:ascii="Georgia" w:hAnsi="Georgia"/>
        </w:rPr>
        <w:lastRenderedPageBreak/>
        <w:t xml:space="preserve">Isolated episodes relating to individual performance will be addressed on an individual basis.  Actions may include one-on-one counseling and/or mentoring, reviewing resource information, </w:t>
      </w:r>
      <w:r w:rsidR="00C0389A" w:rsidRPr="00F02915">
        <w:rPr>
          <w:rFonts w:ascii="Georgia" w:hAnsi="Georgia"/>
        </w:rPr>
        <w:t>Inservice</w:t>
      </w:r>
      <w:r w:rsidRPr="00F02915">
        <w:rPr>
          <w:rFonts w:ascii="Georgia" w:hAnsi="Georgia"/>
        </w:rPr>
        <w:t xml:space="preserve"> training or continuing education.</w:t>
      </w:r>
    </w:p>
    <w:p w14:paraId="26FDB90A" w14:textId="77777777" w:rsidR="000C0172" w:rsidRPr="00247F2F" w:rsidRDefault="000C0172" w:rsidP="00D5294C">
      <w:pPr>
        <w:spacing w:after="0" w:line="240" w:lineRule="auto"/>
        <w:rPr>
          <w:rFonts w:ascii="Georgia" w:hAnsi="Georgia"/>
        </w:rPr>
      </w:pPr>
    </w:p>
    <w:sectPr w:rsidR="000C0172" w:rsidRPr="00247F2F" w:rsidSect="00D5294C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F5F531" w14:textId="77777777" w:rsidR="00201FF9" w:rsidRDefault="00201FF9" w:rsidP="00004886">
      <w:pPr>
        <w:spacing w:after="0" w:line="240" w:lineRule="auto"/>
      </w:pPr>
      <w:r>
        <w:separator/>
      </w:r>
    </w:p>
  </w:endnote>
  <w:endnote w:type="continuationSeparator" w:id="0">
    <w:p w14:paraId="08A4547D" w14:textId="77777777" w:rsidR="00201FF9" w:rsidRDefault="00201FF9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-1488934843"/>
      <w:docPartObj>
        <w:docPartGallery w:val="Page Numbers (Top of Page)"/>
        <w:docPartUnique/>
      </w:docPartObj>
    </w:sdtPr>
    <w:sdtContent>
      <w:p w14:paraId="0E0DD170" w14:textId="725ADC50" w:rsidR="00D5294C" w:rsidRPr="00D5294C" w:rsidRDefault="00D5294C" w:rsidP="00D5294C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5F5E2AB" w14:textId="07676D78" w:rsidR="004F6C2F" w:rsidRPr="00D5294C" w:rsidRDefault="004F6C2F" w:rsidP="00D5294C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86EFC">
              <w:rPr>
                <w:rFonts w:ascii="Avenir" w:hAnsi="Avenir"/>
                <w:b/>
                <w:noProof/>
              </w:rPr>
              <w:t>1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686EFC">
              <w:rPr>
                <w:rFonts w:ascii="Avenir" w:hAnsi="Avenir"/>
                <w:b/>
                <w:noProof/>
              </w:rPr>
              <w:t>2</w:t>
            </w:r>
            <w:r w:rsidR="00C82A2B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08BFF" w14:textId="77777777" w:rsidR="00201FF9" w:rsidRDefault="00201FF9" w:rsidP="00004886">
      <w:pPr>
        <w:spacing w:after="0" w:line="240" w:lineRule="auto"/>
      </w:pPr>
      <w:r>
        <w:separator/>
      </w:r>
    </w:p>
  </w:footnote>
  <w:footnote w:type="continuationSeparator" w:id="0">
    <w:p w14:paraId="09D71890" w14:textId="77777777" w:rsidR="00201FF9" w:rsidRDefault="00201FF9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2B0CD" w14:textId="4DF152F8" w:rsidR="004F6C2F" w:rsidRDefault="00D5294C" w:rsidP="000C017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878C49" wp14:editId="2C101B3C">
              <wp:simplePos x="0" y="0"/>
              <wp:positionH relativeFrom="column">
                <wp:posOffset>3409950</wp:posOffset>
              </wp:positionH>
              <wp:positionV relativeFrom="paragraph">
                <wp:posOffset>173355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FAC323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878C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8.5pt;margin-top:13.65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" stroked="f">
              <v:textbox style="mso-fit-shape-to-text:t">
                <w:txbxContent>
                  <w:p w14:paraId="70FAC323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6B67BF0" wp14:editId="719BBE57">
          <wp:simplePos x="0" y="0"/>
          <wp:positionH relativeFrom="column">
            <wp:posOffset>-285750</wp:posOffset>
          </wp:positionH>
          <wp:positionV relativeFrom="paragraph">
            <wp:posOffset>18415</wp:posOffset>
          </wp:positionV>
          <wp:extent cx="2176145" cy="572770"/>
          <wp:effectExtent l="0" t="0" r="0" b="0"/>
          <wp:wrapThrough wrapText="bothSides">
            <wp:wrapPolygon edited="0">
              <wp:start x="0" y="0"/>
              <wp:lineTo x="0" y="20834"/>
              <wp:lineTo x="21367" y="20834"/>
              <wp:lineTo x="21367" y="0"/>
              <wp:lineTo x="0" y="0"/>
            </wp:wrapPolygon>
          </wp:wrapThrough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6C2F">
      <w:t xml:space="preserve"> </w:t>
    </w:r>
  </w:p>
  <w:p w14:paraId="1EBB92B6" w14:textId="1CF811E8" w:rsidR="00D5294C" w:rsidRPr="00D5294C" w:rsidRDefault="00D5294C" w:rsidP="000C0172">
    <w:pPr>
      <w:pStyle w:val="Header"/>
      <w:rPr>
        <w:sz w:val="3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D5294C" w:rsidRPr="00004886" w14:paraId="696F6348" w14:textId="77777777" w:rsidTr="00D5294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06864E1D" w14:textId="77777777" w:rsidR="00D5294C" w:rsidRPr="0091763A" w:rsidRDefault="00D5294C" w:rsidP="00D5294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5294C" w:rsidRPr="00004886" w14:paraId="0E76D142" w14:textId="77777777" w:rsidTr="00D5294C">
      <w:trPr>
        <w:trHeight w:val="432"/>
      </w:trPr>
      <w:tc>
        <w:tcPr>
          <w:tcW w:w="9350" w:type="dxa"/>
          <w:gridSpan w:val="3"/>
          <w:vAlign w:val="center"/>
        </w:tcPr>
        <w:p w14:paraId="5B8EC05F" w14:textId="77777777" w:rsidR="00D5294C" w:rsidRPr="00383057" w:rsidRDefault="00D5294C" w:rsidP="00D5294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Competency Assessment</w:t>
          </w:r>
        </w:p>
      </w:tc>
    </w:tr>
    <w:tr w:rsidR="004F6C2F" w:rsidRPr="00004886" w14:paraId="65212EF4" w14:textId="77777777" w:rsidTr="00D5294C">
      <w:tc>
        <w:tcPr>
          <w:tcW w:w="3118" w:type="dxa"/>
          <w:shd w:val="clear" w:color="auto" w:fill="D9D9D9" w:themeFill="background1" w:themeFillShade="D9"/>
        </w:tcPr>
        <w:p w14:paraId="7F469528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1D52AF9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79DE6DA4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06A6BBAF" w14:textId="77777777" w:rsidTr="00D5294C">
      <w:tc>
        <w:tcPr>
          <w:tcW w:w="3118" w:type="dxa"/>
        </w:tcPr>
        <w:p w14:paraId="45132294" w14:textId="13CBB414" w:rsidR="004F6C2F" w:rsidRPr="00383057" w:rsidRDefault="00D5294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A225CBD" w14:textId="26B0C6BC" w:rsidR="004F6C2F" w:rsidRPr="00383057" w:rsidRDefault="00D5294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11/17/2023</w:t>
          </w:r>
        </w:p>
      </w:tc>
      <w:tc>
        <w:tcPr>
          <w:tcW w:w="3115" w:type="dxa"/>
        </w:tcPr>
        <w:p w14:paraId="634C7163" w14:textId="5B3911F2" w:rsidR="004F6C2F" w:rsidRPr="00383057" w:rsidRDefault="00D5294C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11/17/2025</w:t>
          </w:r>
        </w:p>
      </w:tc>
    </w:tr>
    <w:tr w:rsidR="00D5294C" w:rsidRPr="00004886" w14:paraId="4F412895" w14:textId="77777777" w:rsidTr="00D5294C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15B4AC42" w14:textId="405616BB" w:rsidR="00D5294C" w:rsidRPr="0091763A" w:rsidRDefault="00D5294C" w:rsidP="00D5294C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D5294C" w:rsidRPr="00004886" w14:paraId="5451960C" w14:textId="77777777" w:rsidTr="00D5294C">
      <w:trPr>
        <w:trHeight w:val="576"/>
      </w:trPr>
      <w:tc>
        <w:tcPr>
          <w:tcW w:w="9350" w:type="dxa"/>
          <w:gridSpan w:val="3"/>
          <w:vAlign w:val="center"/>
        </w:tcPr>
        <w:p w14:paraId="5C661C1E" w14:textId="0C964262" w:rsidR="00D5294C" w:rsidRPr="00383057" w:rsidRDefault="00D5294C" w:rsidP="00D5294C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7461DB02" w14:textId="77777777" w:rsidTr="00D5294C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58F61A75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6C8C0E4F" w14:textId="77777777" w:rsidTr="00D5294C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91BDA21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540DE33C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B93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6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4D18C9"/>
    <w:multiLevelType w:val="multilevel"/>
    <w:tmpl w:val="62B8A2D6"/>
    <w:lvl w:ilvl="0">
      <w:start w:val="1"/>
      <w:numFmt w:val="decimal"/>
      <w:lvlText w:val="%1."/>
      <w:lvlJc w:val="left"/>
      <w:pPr>
        <w:ind w:left="864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296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728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160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592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2" w:hanging="180"/>
      </w:pPr>
      <w:rPr>
        <w:rFonts w:hint="default"/>
      </w:rPr>
    </w:lvl>
  </w:abstractNum>
  <w:abstractNum w:abstractNumId="8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74961"/>
    <w:multiLevelType w:val="hybridMultilevel"/>
    <w:tmpl w:val="20940E9E"/>
    <w:lvl w:ilvl="0" w:tplc="F85448A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44125"/>
    <w:multiLevelType w:val="hybridMultilevel"/>
    <w:tmpl w:val="49F83ACC"/>
    <w:lvl w:ilvl="0" w:tplc="F9D28D9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550F50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C03BCD"/>
    <w:multiLevelType w:val="hybridMultilevel"/>
    <w:tmpl w:val="E230F98A"/>
    <w:lvl w:ilvl="0" w:tplc="B5924A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FCBC3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7717C9"/>
    <w:multiLevelType w:val="hybridMultilevel"/>
    <w:tmpl w:val="7604D9E2"/>
    <w:lvl w:ilvl="0" w:tplc="404AE7A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467EA9E8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47A8764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1433C0"/>
    <w:multiLevelType w:val="multilevel"/>
    <w:tmpl w:val="62B8A2D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7CF043C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8" w15:restartNumberingAfterBreak="0">
    <w:nsid w:val="7A7B0C68"/>
    <w:multiLevelType w:val="hybridMultilevel"/>
    <w:tmpl w:val="DB3882BE"/>
    <w:lvl w:ilvl="0" w:tplc="1BAAACDE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Georgia" w:hAnsi="Georgia" w:cs="Arial" w:hint="default"/>
        <w:b w:val="0"/>
        <w:bCs w:val="0"/>
        <w:i w:val="0"/>
        <w:iCs w:val="0"/>
        <w:sz w:val="22"/>
        <w:szCs w:val="22"/>
      </w:rPr>
    </w:lvl>
    <w:lvl w:ilvl="1" w:tplc="5CC41DE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19"/>
  </w:num>
  <w:num w:numId="3">
    <w:abstractNumId w:val="6"/>
  </w:num>
  <w:num w:numId="4">
    <w:abstractNumId w:val="13"/>
  </w:num>
  <w:num w:numId="5">
    <w:abstractNumId w:val="10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14"/>
  </w:num>
  <w:num w:numId="11">
    <w:abstractNumId w:val="2"/>
  </w:num>
  <w:num w:numId="12">
    <w:abstractNumId w:val="17"/>
  </w:num>
  <w:num w:numId="13">
    <w:abstractNumId w:val="16"/>
  </w:num>
  <w:num w:numId="14">
    <w:abstractNumId w:val="12"/>
  </w:num>
  <w:num w:numId="15">
    <w:abstractNumId w:val="15"/>
  </w:num>
  <w:num w:numId="16">
    <w:abstractNumId w:val="9"/>
  </w:num>
  <w:num w:numId="17">
    <w:abstractNumId w:val="7"/>
  </w:num>
  <w:num w:numId="18">
    <w:abstractNumId w:val="0"/>
  </w:num>
  <w:num w:numId="19">
    <w:abstractNumId w:val="1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51"/>
    <w:rsid w:val="00004886"/>
    <w:rsid w:val="00017F74"/>
    <w:rsid w:val="00070BDF"/>
    <w:rsid w:val="000C0172"/>
    <w:rsid w:val="000E0733"/>
    <w:rsid w:val="000E3D52"/>
    <w:rsid w:val="000F2787"/>
    <w:rsid w:val="00201FF9"/>
    <w:rsid w:val="002174C0"/>
    <w:rsid w:val="00247F2F"/>
    <w:rsid w:val="00366B62"/>
    <w:rsid w:val="00383057"/>
    <w:rsid w:val="003A605C"/>
    <w:rsid w:val="004039FB"/>
    <w:rsid w:val="00496194"/>
    <w:rsid w:val="004B00A2"/>
    <w:rsid w:val="004F6C2F"/>
    <w:rsid w:val="004F7E1E"/>
    <w:rsid w:val="00513DB0"/>
    <w:rsid w:val="005C7456"/>
    <w:rsid w:val="005C7A61"/>
    <w:rsid w:val="005D3418"/>
    <w:rsid w:val="006318B2"/>
    <w:rsid w:val="00636251"/>
    <w:rsid w:val="0064513A"/>
    <w:rsid w:val="006772EC"/>
    <w:rsid w:val="00686EFC"/>
    <w:rsid w:val="006C0ECD"/>
    <w:rsid w:val="006E4BF4"/>
    <w:rsid w:val="00721119"/>
    <w:rsid w:val="00744C01"/>
    <w:rsid w:val="007D240F"/>
    <w:rsid w:val="00806F6F"/>
    <w:rsid w:val="00857EA6"/>
    <w:rsid w:val="008F49D4"/>
    <w:rsid w:val="00914055"/>
    <w:rsid w:val="0091763A"/>
    <w:rsid w:val="009342A6"/>
    <w:rsid w:val="009F3EE2"/>
    <w:rsid w:val="00A1280F"/>
    <w:rsid w:val="00A63F7C"/>
    <w:rsid w:val="00AC317F"/>
    <w:rsid w:val="00AF7CAE"/>
    <w:rsid w:val="00BA51C0"/>
    <w:rsid w:val="00C0389A"/>
    <w:rsid w:val="00C4620C"/>
    <w:rsid w:val="00C57F0F"/>
    <w:rsid w:val="00C70850"/>
    <w:rsid w:val="00C82A2B"/>
    <w:rsid w:val="00C97BB8"/>
    <w:rsid w:val="00D5294C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EFC05ED"/>
  <w15:docId w15:val="{A781F071-8398-46CE-BB78-C3710F41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BBFE6-EE3D-4F08-BF91-9C3A601DD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2</cp:revision>
  <dcterms:created xsi:type="dcterms:W3CDTF">2023-11-21T14:27:00Z</dcterms:created>
  <dcterms:modified xsi:type="dcterms:W3CDTF">2023-11-21T14:27:00Z</dcterms:modified>
</cp:coreProperties>
</file>