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81DC9" w14:textId="42CDD1A6" w:rsidR="00B365B4" w:rsidRDefault="00B365B4" w:rsidP="00B365B4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r w:rsidRPr="00B365B4">
        <w:rPr>
          <w:rFonts w:ascii="Avenir" w:eastAsia="Times New Roman" w:hAnsi="Avenir"/>
          <w:b/>
          <w:sz w:val="24"/>
          <w:szCs w:val="24"/>
        </w:rPr>
        <w:t>Purpose</w:t>
      </w:r>
    </w:p>
    <w:p w14:paraId="6CF0B321" w14:textId="77777777" w:rsidR="009E19D6" w:rsidRPr="00B365B4" w:rsidRDefault="009E19D6" w:rsidP="00B365B4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</w:p>
    <w:p w14:paraId="362B8515" w14:textId="77777777" w:rsidR="002E463D" w:rsidRPr="00C307FA" w:rsidRDefault="002E463D" w:rsidP="008613E8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18"/>
        </w:rPr>
      </w:pPr>
      <w:r w:rsidRPr="00C307FA">
        <w:rPr>
          <w:rFonts w:ascii="Georgia" w:hAnsi="Georgia" w:cs="Arial"/>
          <w:szCs w:val="18"/>
        </w:rPr>
        <w:t>To maintain medical asepsis to control infection</w:t>
      </w:r>
    </w:p>
    <w:p w14:paraId="3E9D4108" w14:textId="77777777" w:rsidR="002E463D" w:rsidRDefault="002E463D" w:rsidP="008613E8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18"/>
        </w:rPr>
      </w:pPr>
      <w:r w:rsidRPr="00C307FA">
        <w:rPr>
          <w:rFonts w:ascii="Georgia" w:hAnsi="Georgia" w:cs="Arial"/>
          <w:szCs w:val="18"/>
        </w:rPr>
        <w:t>To reduce</w:t>
      </w:r>
      <w:r>
        <w:rPr>
          <w:rFonts w:ascii="Georgia" w:hAnsi="Georgia" w:cs="Arial"/>
          <w:szCs w:val="18"/>
        </w:rPr>
        <w:t xml:space="preserve"> </w:t>
      </w:r>
      <w:r w:rsidRPr="002E463D">
        <w:rPr>
          <w:rFonts w:ascii="Georgia" w:hAnsi="Georgia" w:cs="Arial"/>
          <w:szCs w:val="18"/>
        </w:rPr>
        <w:t>transmission of organisms from</w:t>
      </w:r>
      <w:r>
        <w:rPr>
          <w:rFonts w:ascii="Georgia" w:hAnsi="Georgia" w:cs="Arial"/>
          <w:szCs w:val="18"/>
        </w:rPr>
        <w:t>:</w:t>
      </w:r>
    </w:p>
    <w:p w14:paraId="31D4B7E8" w14:textId="77777777" w:rsidR="002E463D" w:rsidRDefault="002E463D" w:rsidP="008613E8">
      <w:pPr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25" w:lineRule="atLeast"/>
        <w:ind w:left="720"/>
        <w:rPr>
          <w:rFonts w:ascii="Georgia" w:hAnsi="Georgia" w:cs="Arial"/>
          <w:szCs w:val="18"/>
        </w:rPr>
      </w:pPr>
      <w:r w:rsidRPr="002E463D">
        <w:rPr>
          <w:rFonts w:ascii="Georgia" w:hAnsi="Georgia" w:cs="Arial"/>
          <w:szCs w:val="18"/>
        </w:rPr>
        <w:t>resident to resident</w:t>
      </w:r>
    </w:p>
    <w:p w14:paraId="48A01D9E" w14:textId="77777777" w:rsidR="002E463D" w:rsidRDefault="002E463D" w:rsidP="008613E8">
      <w:pPr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25" w:lineRule="atLeast"/>
        <w:ind w:left="720"/>
        <w:rPr>
          <w:rFonts w:ascii="Georgia" w:hAnsi="Georgia" w:cs="Arial"/>
          <w:szCs w:val="18"/>
        </w:rPr>
      </w:pPr>
      <w:r w:rsidRPr="002E463D">
        <w:rPr>
          <w:rFonts w:ascii="Georgia" w:hAnsi="Georgia" w:cs="Arial"/>
          <w:szCs w:val="18"/>
        </w:rPr>
        <w:t>direct care staff to resident</w:t>
      </w:r>
    </w:p>
    <w:p w14:paraId="419D042D" w14:textId="77777777" w:rsidR="002E463D" w:rsidRPr="002E463D" w:rsidRDefault="002E463D" w:rsidP="008613E8">
      <w:pPr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25" w:lineRule="atLeast"/>
        <w:ind w:left="720"/>
        <w:rPr>
          <w:rFonts w:ascii="Georgia" w:hAnsi="Georgia" w:cs="Arial"/>
          <w:szCs w:val="18"/>
        </w:rPr>
      </w:pPr>
      <w:r w:rsidRPr="002E463D">
        <w:rPr>
          <w:rFonts w:ascii="Georgia" w:hAnsi="Georgia" w:cs="Arial"/>
          <w:szCs w:val="18"/>
        </w:rPr>
        <w:t>resident to direct care staff</w:t>
      </w:r>
    </w:p>
    <w:p w14:paraId="3FB5FAA7" w14:textId="77777777" w:rsidR="00B365B4" w:rsidRPr="00B365B4" w:rsidRDefault="00B365B4" w:rsidP="00B365B4">
      <w:pPr>
        <w:spacing w:after="0" w:line="240" w:lineRule="auto"/>
        <w:rPr>
          <w:rFonts w:ascii="Georgia" w:eastAsia="Times New Roman" w:hAnsi="Georgia"/>
          <w:szCs w:val="24"/>
        </w:rPr>
      </w:pPr>
    </w:p>
    <w:p w14:paraId="435DBD5F" w14:textId="6914F36B" w:rsidR="00B365B4" w:rsidRDefault="00B365B4" w:rsidP="00B365B4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r w:rsidRPr="00B365B4">
        <w:rPr>
          <w:rFonts w:ascii="Avenir" w:eastAsia="Times New Roman" w:hAnsi="Avenir"/>
          <w:b/>
          <w:sz w:val="24"/>
          <w:szCs w:val="24"/>
        </w:rPr>
        <w:t>Procedure</w:t>
      </w:r>
    </w:p>
    <w:p w14:paraId="63CB4894" w14:textId="77777777" w:rsidR="009E19D6" w:rsidRPr="00B365B4" w:rsidRDefault="009E19D6" w:rsidP="00B365B4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bookmarkStart w:id="0" w:name="_GoBack"/>
      <w:bookmarkEnd w:id="0"/>
    </w:p>
    <w:p w14:paraId="7E36C425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20"/>
        </w:rPr>
      </w:pPr>
      <w:r w:rsidRPr="00E73453">
        <w:rPr>
          <w:rFonts w:ascii="Georgia" w:hAnsi="Georgia" w:cs="Arial"/>
          <w:szCs w:val="20"/>
        </w:rPr>
        <w:t>Turn on water and adjust temperature</w:t>
      </w:r>
    </w:p>
    <w:p w14:paraId="160FA918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20"/>
        </w:rPr>
      </w:pPr>
      <w:r w:rsidRPr="00E73453">
        <w:rPr>
          <w:rFonts w:ascii="Georgia" w:hAnsi="Georgia" w:cs="Arial"/>
          <w:szCs w:val="20"/>
        </w:rPr>
        <w:t>Soap hands well</w:t>
      </w:r>
    </w:p>
    <w:p w14:paraId="71D6B5B0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20"/>
        </w:rPr>
      </w:pPr>
      <w:r w:rsidRPr="00E73453">
        <w:rPr>
          <w:rFonts w:ascii="Georgia" w:hAnsi="Georgia" w:cs="Arial"/>
          <w:szCs w:val="20"/>
        </w:rPr>
        <w:t>Rub hands briskly for 20 seconds (2 rounds of the “Happy Birthday” song), pay special attention to area between fingers</w:t>
      </w:r>
    </w:p>
    <w:p w14:paraId="55051513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20"/>
        </w:rPr>
      </w:pPr>
      <w:r w:rsidRPr="00E73453">
        <w:rPr>
          <w:rFonts w:ascii="Georgia" w:hAnsi="Georgia" w:cs="Arial"/>
          <w:szCs w:val="20"/>
        </w:rPr>
        <w:t>Use brush to clean under nails if necessary</w:t>
      </w:r>
    </w:p>
    <w:p w14:paraId="3F0668B9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20"/>
        </w:rPr>
      </w:pPr>
      <w:r w:rsidRPr="00E73453">
        <w:rPr>
          <w:rFonts w:ascii="Georgia" w:hAnsi="Georgia" w:cs="Arial"/>
          <w:szCs w:val="20"/>
        </w:rPr>
        <w:t xml:space="preserve">Rinse with hands lowered to allow soiled water to drain directly into sink </w:t>
      </w:r>
    </w:p>
    <w:p w14:paraId="73EC4D7B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20"/>
        </w:rPr>
      </w:pPr>
      <w:r w:rsidRPr="00E73453">
        <w:rPr>
          <w:rFonts w:ascii="Georgia" w:hAnsi="Georgia" w:cs="Arial"/>
          <w:szCs w:val="20"/>
        </w:rPr>
        <w:t>Do not allow hands to touch inside of sink</w:t>
      </w:r>
    </w:p>
    <w:p w14:paraId="4B656470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 w:cs="Arial"/>
          <w:szCs w:val="20"/>
        </w:rPr>
      </w:pPr>
      <w:r w:rsidRPr="00E73453">
        <w:rPr>
          <w:rFonts w:ascii="Georgia" w:hAnsi="Georgia" w:cs="Arial"/>
          <w:szCs w:val="20"/>
        </w:rPr>
        <w:t>Dry hands well, especially between fingers</w:t>
      </w:r>
    </w:p>
    <w:p w14:paraId="0BCB072A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/>
        </w:rPr>
      </w:pPr>
      <w:r w:rsidRPr="00E73453">
        <w:rPr>
          <w:rFonts w:ascii="Georgia" w:hAnsi="Georgia" w:cs="Arial"/>
          <w:szCs w:val="20"/>
        </w:rPr>
        <w:t>May use disposable hand towel to turn off faucet</w:t>
      </w:r>
    </w:p>
    <w:p w14:paraId="06DE8E02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/>
        </w:rPr>
      </w:pPr>
      <w:r w:rsidRPr="00E73453">
        <w:rPr>
          <w:rFonts w:ascii="Georgia" w:hAnsi="Georgia" w:cs="Arial"/>
          <w:szCs w:val="17"/>
        </w:rPr>
        <w:t>May use an alcohol-based hand sanitizer between hand washing with soap and water unless there is visible soiling</w:t>
      </w:r>
    </w:p>
    <w:p w14:paraId="22FA9B99" w14:textId="77777777" w:rsidR="00843FAF" w:rsidRPr="00E73453" w:rsidRDefault="00843FAF" w:rsidP="008613E8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25" w:lineRule="atLeast"/>
        <w:ind w:left="360"/>
        <w:rPr>
          <w:rFonts w:ascii="Georgia" w:hAnsi="Georgia"/>
        </w:rPr>
      </w:pPr>
      <w:r w:rsidRPr="00E73453">
        <w:rPr>
          <w:rFonts w:ascii="Georgia" w:hAnsi="Georgia" w:cs="Arial"/>
          <w:szCs w:val="20"/>
        </w:rPr>
        <w:t>Apply moisture barrier as needed when necessary</w:t>
      </w:r>
    </w:p>
    <w:p w14:paraId="03301141" w14:textId="77777777" w:rsidR="00B365B4" w:rsidRPr="00B365B4" w:rsidRDefault="00B365B4" w:rsidP="00B365B4">
      <w:pPr>
        <w:spacing w:after="0" w:line="240" w:lineRule="auto"/>
        <w:rPr>
          <w:rFonts w:ascii="Georgia" w:eastAsia="Times New Roman" w:hAnsi="Georgia"/>
          <w:szCs w:val="24"/>
        </w:rPr>
      </w:pPr>
    </w:p>
    <w:p w14:paraId="6612A7D4" w14:textId="77777777" w:rsidR="00126981" w:rsidRPr="00B365B4" w:rsidRDefault="00126981" w:rsidP="00B365B4"/>
    <w:sectPr w:rsidR="00126981" w:rsidRPr="00B365B4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3050" w14:textId="77777777" w:rsidR="00E62FB9" w:rsidRDefault="00E62FB9" w:rsidP="00004886">
      <w:pPr>
        <w:spacing w:after="0" w:line="240" w:lineRule="auto"/>
      </w:pPr>
      <w:r>
        <w:separator/>
      </w:r>
    </w:p>
  </w:endnote>
  <w:endnote w:type="continuationSeparator" w:id="0">
    <w:p w14:paraId="0D26CD19" w14:textId="77777777" w:rsidR="00E62FB9" w:rsidRDefault="00E62FB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307D04E" w14:textId="77777777" w:rsidR="003A605C" w:rsidRPr="008613E8" w:rsidRDefault="003A605C" w:rsidP="008613E8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5937" w14:textId="77777777" w:rsidR="00E62FB9" w:rsidRDefault="00E62FB9" w:rsidP="00004886">
      <w:pPr>
        <w:spacing w:after="0" w:line="240" w:lineRule="auto"/>
      </w:pPr>
      <w:r>
        <w:separator/>
      </w:r>
    </w:p>
  </w:footnote>
  <w:footnote w:type="continuationSeparator" w:id="0">
    <w:p w14:paraId="71347CDA" w14:textId="77777777" w:rsidR="00E62FB9" w:rsidRDefault="00E62FB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9226" w14:textId="77777777" w:rsidR="003A605C" w:rsidRDefault="008613E8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C202A" wp14:editId="65AADD4C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2CE96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3C20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0562CE96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66F897FB" wp14:editId="69EB5D2F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8613E8" w:rsidRPr="00004886" w14:paraId="5E013EC6" w14:textId="77777777" w:rsidTr="008613E8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7B649DA8" w14:textId="77777777" w:rsidR="008613E8" w:rsidRPr="0091763A" w:rsidRDefault="008613E8" w:rsidP="008613E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8613E8" w:rsidRPr="00004886" w14:paraId="47F47564" w14:textId="77777777" w:rsidTr="008613E8">
      <w:trPr>
        <w:trHeight w:val="432"/>
      </w:trPr>
      <w:tc>
        <w:tcPr>
          <w:tcW w:w="9576" w:type="dxa"/>
          <w:gridSpan w:val="3"/>
          <w:vAlign w:val="center"/>
        </w:tcPr>
        <w:p w14:paraId="70D21ECC" w14:textId="77777777" w:rsidR="008613E8" w:rsidRPr="00383057" w:rsidRDefault="008613E8" w:rsidP="008613E8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Hand Hygiene </w:t>
          </w:r>
        </w:p>
      </w:tc>
    </w:tr>
    <w:tr w:rsidR="00017F74" w:rsidRPr="00004886" w14:paraId="6AD1E89E" w14:textId="77777777" w:rsidTr="00D755F0">
      <w:tc>
        <w:tcPr>
          <w:tcW w:w="3192" w:type="dxa"/>
          <w:shd w:val="clear" w:color="auto" w:fill="D9D9D9" w:themeFill="background1" w:themeFillShade="D9"/>
        </w:tcPr>
        <w:p w14:paraId="08484BC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88FF1F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2541DD4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303D5683" w14:textId="77777777" w:rsidTr="00D755F0">
      <w:tc>
        <w:tcPr>
          <w:tcW w:w="3192" w:type="dxa"/>
        </w:tcPr>
        <w:p w14:paraId="11D5E5B8" w14:textId="442EAF6E" w:rsidR="00017F74" w:rsidRPr="00383057" w:rsidRDefault="009E19D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B365B4">
            <w:rPr>
              <w:rFonts w:ascii="Georgia" w:eastAsiaTheme="minorHAnsi" w:hAnsi="Georgia" w:cstheme="minorBidi"/>
            </w:rPr>
            <w:t>8</w:t>
          </w:r>
          <w:r w:rsidR="00126981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B365B4">
            <w:rPr>
              <w:rFonts w:ascii="Georgia" w:eastAsiaTheme="minorHAnsi" w:hAnsi="Georgia" w:cstheme="minorBidi"/>
            </w:rPr>
            <w:t>6</w:t>
          </w:r>
          <w:r w:rsidR="00126981">
            <w:rPr>
              <w:rFonts w:ascii="Georgia" w:eastAsiaTheme="minorHAnsi" w:hAnsi="Georgia" w:cstheme="minorBidi"/>
            </w:rPr>
            <w:t>/201</w:t>
          </w:r>
          <w:r w:rsidR="00B365B4">
            <w:rPr>
              <w:rFonts w:ascii="Georgia" w:eastAsiaTheme="minorHAnsi" w:hAnsi="Georgia" w:cstheme="minorBidi"/>
            </w:rPr>
            <w:t>4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5DA821C" w14:textId="59AD0DF0" w:rsidR="00017F74" w:rsidRPr="00383057" w:rsidRDefault="009E19D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07/05/2023</w:t>
          </w:r>
        </w:p>
      </w:tc>
      <w:tc>
        <w:tcPr>
          <w:tcW w:w="3192" w:type="dxa"/>
        </w:tcPr>
        <w:p w14:paraId="3ABE43D7" w14:textId="7E9C0737" w:rsidR="00017F74" w:rsidRPr="00383057" w:rsidRDefault="009E19D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07/05/2025</w:t>
          </w:r>
        </w:p>
      </w:tc>
    </w:tr>
    <w:tr w:rsidR="008613E8" w:rsidRPr="00004886" w14:paraId="1B6ADBC8" w14:textId="77777777" w:rsidTr="008613E8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3C2CBD67" w14:textId="77777777" w:rsidR="008613E8" w:rsidRPr="0091763A" w:rsidRDefault="008613E8" w:rsidP="008613E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8613E8" w:rsidRPr="00004886" w14:paraId="2061657F" w14:textId="77777777" w:rsidTr="008613E8">
      <w:trPr>
        <w:trHeight w:val="576"/>
      </w:trPr>
      <w:tc>
        <w:tcPr>
          <w:tcW w:w="9576" w:type="dxa"/>
          <w:gridSpan w:val="3"/>
          <w:vAlign w:val="center"/>
        </w:tcPr>
        <w:p w14:paraId="6D7E4672" w14:textId="77777777" w:rsidR="008613E8" w:rsidRPr="00383057" w:rsidRDefault="008613E8" w:rsidP="008613E8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5EE321C0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37F8A2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95F728E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A92B610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DBA9D42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4285D"/>
    <w:multiLevelType w:val="hybridMultilevel"/>
    <w:tmpl w:val="4AFC0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D07C1C"/>
    <w:multiLevelType w:val="hybridMultilevel"/>
    <w:tmpl w:val="3D22B4F0"/>
    <w:lvl w:ilvl="0" w:tplc="261EC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D7F8CE3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B21D1"/>
    <w:multiLevelType w:val="hybridMultilevel"/>
    <w:tmpl w:val="0C78B5F8"/>
    <w:lvl w:ilvl="0" w:tplc="261EC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20826"/>
    <w:multiLevelType w:val="hybridMultilevel"/>
    <w:tmpl w:val="C6B8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70BDF"/>
    <w:rsid w:val="000E0733"/>
    <w:rsid w:val="00126981"/>
    <w:rsid w:val="001625DE"/>
    <w:rsid w:val="002174C0"/>
    <w:rsid w:val="002E463D"/>
    <w:rsid w:val="003247D0"/>
    <w:rsid w:val="00366B62"/>
    <w:rsid w:val="00383057"/>
    <w:rsid w:val="003A605C"/>
    <w:rsid w:val="004039FB"/>
    <w:rsid w:val="00496194"/>
    <w:rsid w:val="004B00A2"/>
    <w:rsid w:val="004F7E1E"/>
    <w:rsid w:val="005D24B4"/>
    <w:rsid w:val="006318B2"/>
    <w:rsid w:val="00636251"/>
    <w:rsid w:val="0064513A"/>
    <w:rsid w:val="006772EC"/>
    <w:rsid w:val="00721119"/>
    <w:rsid w:val="00744C01"/>
    <w:rsid w:val="007D240F"/>
    <w:rsid w:val="00806F6F"/>
    <w:rsid w:val="00843FAF"/>
    <w:rsid w:val="00857EA6"/>
    <w:rsid w:val="008613E8"/>
    <w:rsid w:val="008F49D4"/>
    <w:rsid w:val="00914055"/>
    <w:rsid w:val="0091763A"/>
    <w:rsid w:val="009342A6"/>
    <w:rsid w:val="009E19D6"/>
    <w:rsid w:val="00AA4F8A"/>
    <w:rsid w:val="00AC317F"/>
    <w:rsid w:val="00AF7CAE"/>
    <w:rsid w:val="00B365B4"/>
    <w:rsid w:val="00BA51C0"/>
    <w:rsid w:val="00C70850"/>
    <w:rsid w:val="00CB5CE9"/>
    <w:rsid w:val="00DD17C5"/>
    <w:rsid w:val="00E547EA"/>
    <w:rsid w:val="00E62FB9"/>
    <w:rsid w:val="00E810E1"/>
    <w:rsid w:val="00F107CD"/>
    <w:rsid w:val="00F53FE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0C3D9F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2023-07-05T18:52:00Z</dcterms:created>
  <dcterms:modified xsi:type="dcterms:W3CDTF">2023-07-05T20:44:00Z</dcterms:modified>
</cp:coreProperties>
</file>