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15CC" w14:textId="77777777" w:rsidR="00C21A95" w:rsidRPr="00C21A95" w:rsidRDefault="00C21A95" w:rsidP="00485057">
      <w:pPr>
        <w:widowControl w:val="0"/>
        <w:autoSpaceDE w:val="0"/>
        <w:autoSpaceDN w:val="0"/>
        <w:adjustRightInd w:val="0"/>
        <w:spacing w:line="360" w:lineRule="auto"/>
        <w:ind w:left="-450"/>
        <w:jc w:val="both"/>
        <w:rPr>
          <w:rFonts w:cs="Arial"/>
          <w:b/>
          <w:bCs/>
          <w:szCs w:val="18"/>
        </w:rPr>
      </w:pPr>
      <w:r w:rsidRPr="00C21A95">
        <w:rPr>
          <w:rFonts w:ascii="Avenir" w:eastAsiaTheme="minorHAnsi" w:hAnsi="Avenir" w:cstheme="minorBidi"/>
          <w:b/>
        </w:rPr>
        <w:t>P</w:t>
      </w:r>
      <w:r>
        <w:rPr>
          <w:rFonts w:ascii="Avenir" w:eastAsiaTheme="minorHAnsi" w:hAnsi="Avenir" w:cstheme="minorBidi"/>
          <w:b/>
        </w:rPr>
        <w:t>urpose</w:t>
      </w:r>
    </w:p>
    <w:p w14:paraId="533210EB" w14:textId="77777777" w:rsidR="00762516" w:rsidRPr="00D312C9" w:rsidRDefault="00762516" w:rsidP="00485057">
      <w:pPr>
        <w:ind w:left="-450"/>
        <w:rPr>
          <w:rFonts w:ascii="Georgia" w:hAnsi="Georgia"/>
          <w:sz w:val="22"/>
        </w:rPr>
      </w:pPr>
      <w:r w:rsidRPr="00D312C9">
        <w:rPr>
          <w:rFonts w:ascii="Georgia" w:hAnsi="Georgia"/>
          <w:sz w:val="22"/>
        </w:rPr>
        <w:t xml:space="preserve">Ensure proper </w:t>
      </w:r>
      <w:r w:rsidR="008A160E" w:rsidRPr="00D312C9">
        <w:rPr>
          <w:rFonts w:ascii="Georgia" w:hAnsi="Georgia"/>
          <w:sz w:val="22"/>
        </w:rPr>
        <w:t xml:space="preserve">cleaning of Glucometer to prevent </w:t>
      </w:r>
      <w:r w:rsidR="005E35F1" w:rsidRPr="00D312C9">
        <w:rPr>
          <w:rFonts w:ascii="Georgia" w:hAnsi="Georgia"/>
          <w:sz w:val="22"/>
        </w:rPr>
        <w:t>infection</w:t>
      </w:r>
      <w:r w:rsidR="00CC3E63">
        <w:rPr>
          <w:rFonts w:ascii="Georgia" w:hAnsi="Georgia"/>
          <w:sz w:val="22"/>
        </w:rPr>
        <w:t>.</w:t>
      </w:r>
    </w:p>
    <w:p w14:paraId="42BFF118" w14:textId="77777777" w:rsidR="008A160E" w:rsidRDefault="008A160E" w:rsidP="00485057">
      <w:pPr>
        <w:ind w:left="-270"/>
      </w:pPr>
    </w:p>
    <w:p w14:paraId="58910ADF" w14:textId="77777777" w:rsidR="00762516" w:rsidRPr="00D312C9" w:rsidRDefault="00762516" w:rsidP="00485057">
      <w:pPr>
        <w:spacing w:line="360" w:lineRule="auto"/>
        <w:ind w:left="-450"/>
        <w:rPr>
          <w:rFonts w:ascii="Avenir" w:hAnsi="Avenir"/>
          <w:b/>
        </w:rPr>
      </w:pPr>
      <w:r w:rsidRPr="00D312C9">
        <w:rPr>
          <w:rFonts w:ascii="Avenir" w:hAnsi="Avenir"/>
          <w:b/>
        </w:rPr>
        <w:t>Procedure</w:t>
      </w:r>
    </w:p>
    <w:p w14:paraId="4F5AEF18" w14:textId="77777777" w:rsidR="00AB0896" w:rsidRPr="00D312C9" w:rsidRDefault="008A160E" w:rsidP="00485057">
      <w:pPr>
        <w:widowControl w:val="0"/>
        <w:autoSpaceDE w:val="0"/>
        <w:autoSpaceDN w:val="0"/>
        <w:adjustRightInd w:val="0"/>
        <w:ind w:left="-450"/>
        <w:jc w:val="both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Glucometers shared by multiple patients will be thoroughly wiped with approved disinfectant and allowed to air dry after every use and between every patient per recommendation of disinfectant.</w:t>
      </w:r>
    </w:p>
    <w:p w14:paraId="6E933CA4" w14:textId="77777777" w:rsidR="008A160E" w:rsidRPr="00D312C9" w:rsidRDefault="008A160E" w:rsidP="0048505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-90"/>
        <w:jc w:val="both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Use fresh disinfectant wipe each time the glucometer is used.</w:t>
      </w:r>
    </w:p>
    <w:p w14:paraId="218A4003" w14:textId="77777777" w:rsidR="008A160E" w:rsidRPr="00D312C9" w:rsidRDefault="008A160E" w:rsidP="0048505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-90"/>
        <w:jc w:val="both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Wipe all surfaces, top, bottom</w:t>
      </w:r>
      <w:r w:rsidR="00D07603" w:rsidRPr="00D312C9">
        <w:rPr>
          <w:rFonts w:ascii="Georgia" w:eastAsia="Calibri" w:hAnsi="Georgia" w:cs="Arial"/>
          <w:bCs/>
          <w:sz w:val="22"/>
          <w:szCs w:val="18"/>
        </w:rPr>
        <w:t>, and sides</w:t>
      </w:r>
      <w:r w:rsidR="00CC3E63">
        <w:rPr>
          <w:rFonts w:ascii="Georgia" w:eastAsia="Calibri" w:hAnsi="Georgia" w:cs="Arial"/>
          <w:bCs/>
          <w:sz w:val="22"/>
          <w:szCs w:val="18"/>
        </w:rPr>
        <w:t>.</w:t>
      </w:r>
    </w:p>
    <w:p w14:paraId="4FC6843D" w14:textId="77777777" w:rsidR="00D07603" w:rsidRPr="00D312C9" w:rsidRDefault="00D07603" w:rsidP="0048505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-90"/>
        <w:jc w:val="both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Allow to air dry per recommended time on disinfectant (kill time)</w:t>
      </w:r>
      <w:r w:rsidR="00CC3E63">
        <w:rPr>
          <w:rFonts w:ascii="Georgia" w:eastAsia="Calibri" w:hAnsi="Georgia" w:cs="Arial"/>
          <w:bCs/>
          <w:sz w:val="22"/>
          <w:szCs w:val="18"/>
        </w:rPr>
        <w:t>.</w:t>
      </w:r>
    </w:p>
    <w:p w14:paraId="0DCBE723" w14:textId="77777777" w:rsidR="00D07603" w:rsidRPr="00D312C9" w:rsidRDefault="00D07603" w:rsidP="0048505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-90"/>
        <w:jc w:val="both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If glucometer becomes visibly contaminated, use fresh wipe to thoroughly clean all exterior surfaces (top, bottom, sides)</w:t>
      </w:r>
      <w:r w:rsidR="00CC3E63">
        <w:rPr>
          <w:rFonts w:ascii="Georgia" w:eastAsia="Calibri" w:hAnsi="Georgia" w:cs="Arial"/>
          <w:bCs/>
          <w:sz w:val="22"/>
          <w:szCs w:val="18"/>
        </w:rPr>
        <w:t xml:space="preserve">, </w:t>
      </w:r>
      <w:r w:rsidRPr="00D312C9">
        <w:rPr>
          <w:rFonts w:ascii="Georgia" w:eastAsia="Calibri" w:hAnsi="Georgia" w:cs="Arial"/>
          <w:bCs/>
          <w:sz w:val="22"/>
          <w:szCs w:val="18"/>
        </w:rPr>
        <w:t>avoiding electronic connections. Discard the wipe. Repeat cleaning and ensure that meter stays wet for the contact time listed on disinfectant directions.</w:t>
      </w:r>
    </w:p>
    <w:p w14:paraId="626EEE6C" w14:textId="77777777" w:rsidR="00D07603" w:rsidRPr="00D312C9" w:rsidRDefault="00D07603" w:rsidP="00485057">
      <w:pPr>
        <w:widowControl w:val="0"/>
        <w:autoSpaceDE w:val="0"/>
        <w:autoSpaceDN w:val="0"/>
        <w:adjustRightInd w:val="0"/>
        <w:ind w:left="-270"/>
        <w:rPr>
          <w:rFonts w:ascii="Georgia" w:eastAsia="Calibri" w:hAnsi="Georgia" w:cs="Arial"/>
          <w:bCs/>
          <w:sz w:val="22"/>
          <w:szCs w:val="18"/>
        </w:rPr>
      </w:pPr>
    </w:p>
    <w:p w14:paraId="54BD94BA" w14:textId="77777777" w:rsidR="005E35F1" w:rsidRPr="00D312C9" w:rsidRDefault="005E35F1" w:rsidP="00485057">
      <w:pPr>
        <w:widowControl w:val="0"/>
        <w:autoSpaceDE w:val="0"/>
        <w:autoSpaceDN w:val="0"/>
        <w:adjustRightInd w:val="0"/>
        <w:ind w:left="-450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Throughout the procedure, perform appropriate h</w:t>
      </w:r>
      <w:bookmarkStart w:id="0" w:name="_GoBack"/>
      <w:bookmarkEnd w:id="0"/>
      <w:r w:rsidRPr="00D312C9">
        <w:rPr>
          <w:rFonts w:ascii="Georgia" w:eastAsia="Calibri" w:hAnsi="Georgia" w:cs="Arial"/>
          <w:bCs/>
          <w:sz w:val="22"/>
          <w:szCs w:val="18"/>
        </w:rPr>
        <w:t>and hygiene</w:t>
      </w:r>
      <w:r w:rsidR="00D312C9">
        <w:rPr>
          <w:rFonts w:ascii="Georgia" w:eastAsia="Calibri" w:hAnsi="Georgia" w:cs="Arial"/>
          <w:bCs/>
          <w:sz w:val="22"/>
          <w:szCs w:val="18"/>
        </w:rPr>
        <w:t>:</w:t>
      </w:r>
    </w:p>
    <w:p w14:paraId="07FF8834" w14:textId="77777777" w:rsidR="005E35F1" w:rsidRPr="00D312C9" w:rsidRDefault="005E35F1" w:rsidP="0048505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-90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Wear gloves during blood glucose monitoring and during any other procedure that involves potential exposure to blood or body fluids</w:t>
      </w:r>
      <w:r w:rsidR="00CC3E63">
        <w:rPr>
          <w:rFonts w:ascii="Georgia" w:eastAsia="Calibri" w:hAnsi="Georgia" w:cs="Arial"/>
          <w:bCs/>
          <w:sz w:val="22"/>
          <w:szCs w:val="18"/>
        </w:rPr>
        <w:t>.</w:t>
      </w:r>
    </w:p>
    <w:p w14:paraId="7118E431" w14:textId="77777777" w:rsidR="005E35F1" w:rsidRPr="00D312C9" w:rsidRDefault="005E35F1" w:rsidP="0048505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-90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Perform hand hygiene immediately after removal of gloves and before touching other medical supplies intended for use on other persons.</w:t>
      </w:r>
    </w:p>
    <w:p w14:paraId="62F71992" w14:textId="77777777" w:rsidR="005E35F1" w:rsidRPr="00D312C9" w:rsidRDefault="005E35F1" w:rsidP="0048505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-90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Change gloves between patient contact</w:t>
      </w:r>
      <w:r w:rsidR="00CC3E63">
        <w:rPr>
          <w:rFonts w:ascii="Georgia" w:eastAsia="Calibri" w:hAnsi="Georgia" w:cs="Arial"/>
          <w:bCs/>
          <w:sz w:val="22"/>
          <w:szCs w:val="18"/>
        </w:rPr>
        <w:t>.</w:t>
      </w:r>
    </w:p>
    <w:p w14:paraId="3C9CD3ED" w14:textId="77777777" w:rsidR="005E35F1" w:rsidRPr="00D312C9" w:rsidRDefault="005E35F1" w:rsidP="0048505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-90"/>
        <w:rPr>
          <w:rFonts w:ascii="Georgia" w:eastAsia="Calibri" w:hAnsi="Georgia" w:cs="Arial"/>
          <w:bCs/>
          <w:sz w:val="22"/>
          <w:szCs w:val="18"/>
        </w:rPr>
      </w:pPr>
      <w:r w:rsidRPr="00D312C9">
        <w:rPr>
          <w:rFonts w:ascii="Georgia" w:eastAsia="Calibri" w:hAnsi="Georgia" w:cs="Arial"/>
          <w:bCs/>
          <w:sz w:val="22"/>
          <w:szCs w:val="18"/>
        </w:rPr>
        <w:t>Change gloves that have touched potentially blood-contaminated objects or fingerstick wounds before touching clean surfaces. Discard gloves in appropriate receptacles.</w:t>
      </w:r>
    </w:p>
    <w:p w14:paraId="677AF56D" w14:textId="77777777" w:rsidR="006F7841" w:rsidRPr="00C21A95" w:rsidRDefault="006F7841" w:rsidP="00485057">
      <w:pPr>
        <w:pStyle w:val="Header"/>
        <w:tabs>
          <w:tab w:val="clear" w:pos="4320"/>
          <w:tab w:val="clear" w:pos="8640"/>
        </w:tabs>
        <w:ind w:left="90"/>
        <w:rPr>
          <w:rFonts w:ascii="Georgia" w:hAnsi="Georgia"/>
          <w:sz w:val="22"/>
          <w:szCs w:val="22"/>
        </w:rPr>
        <w:sectPr w:rsidR="006F7841" w:rsidRPr="00C21A95" w:rsidSect="00485057">
          <w:headerReference w:type="default" r:id="rId8"/>
          <w:footerReference w:type="even" r:id="rId9"/>
          <w:footerReference w:type="default" r:id="rId10"/>
          <w:pgSz w:w="12240" w:h="15840" w:code="1"/>
          <w:pgMar w:top="1440" w:right="1080" w:bottom="1440" w:left="1800" w:header="720" w:footer="720" w:gutter="0"/>
          <w:cols w:space="720"/>
        </w:sectPr>
      </w:pPr>
    </w:p>
    <w:p w14:paraId="732637A1" w14:textId="77777777" w:rsidR="007D7417" w:rsidRPr="00C21A95" w:rsidRDefault="007D7417" w:rsidP="007D7417">
      <w:pPr>
        <w:ind w:left="1800"/>
        <w:rPr>
          <w:rFonts w:ascii="Georgia" w:hAnsi="Georgia"/>
          <w:sz w:val="2"/>
          <w:szCs w:val="2"/>
        </w:rPr>
      </w:pPr>
    </w:p>
    <w:sectPr w:rsidR="007D7417" w:rsidRPr="00C21A95" w:rsidSect="001037F9">
      <w:type w:val="continuous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1508" w14:textId="77777777" w:rsidR="00FB430C" w:rsidRDefault="00FB430C">
      <w:r>
        <w:separator/>
      </w:r>
    </w:p>
  </w:endnote>
  <w:endnote w:type="continuationSeparator" w:id="0">
    <w:p w14:paraId="4DC7C779" w14:textId="77777777" w:rsidR="00FB430C" w:rsidRDefault="00F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3B092" w14:textId="77777777" w:rsidR="00B9657F" w:rsidRDefault="006D02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65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994B3" w14:textId="77777777" w:rsidR="00B9657F" w:rsidRDefault="00B9657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64E6" w14:textId="77777777" w:rsidR="00B9657F" w:rsidRDefault="00B9657F">
    <w:pPr>
      <w:pStyle w:val="Footer"/>
      <w:framePr w:wrap="around" w:vAnchor="text" w:hAnchor="margin" w:xAlign="center" w:y="1"/>
      <w:rPr>
        <w:rStyle w:val="PageNumber"/>
      </w:rPr>
    </w:pPr>
  </w:p>
  <w:p w14:paraId="06539DFB" w14:textId="31247B1A" w:rsidR="00B9657F" w:rsidRPr="00485057" w:rsidRDefault="00485057" w:rsidP="00485057">
    <w:pPr>
      <w:pStyle w:val="Footer"/>
      <w:ind w:right="360" w:firstLine="360"/>
      <w:rPr>
        <w:rFonts w:ascii="Avenir" w:hAnsi="Avenir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Cs w:val="24"/>
      </w:rPr>
      <w:fldChar w:fldCharType="separate"/>
    </w:r>
    <w:r>
      <w:rPr>
        <w:rFonts w:ascii="Avenir" w:hAnsi="Avenir"/>
        <w:b/>
        <w:szCs w:val="24"/>
      </w:rPr>
      <w:t>1</w:t>
    </w:r>
    <w:r w:rsidRPr="0091763A">
      <w:rPr>
        <w:rFonts w:ascii="Avenir" w:hAnsi="Avenir"/>
        <w:b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Cs w:val="24"/>
      </w:rPr>
      <w:fldChar w:fldCharType="separate"/>
    </w:r>
    <w:r>
      <w:rPr>
        <w:rFonts w:ascii="Avenir" w:hAnsi="Avenir"/>
        <w:b/>
        <w:szCs w:val="24"/>
      </w:rPr>
      <w:t>1</w:t>
    </w:r>
    <w:r w:rsidRPr="0091763A">
      <w:rPr>
        <w:rFonts w:ascii="Avenir" w:hAnsi="Avenir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43183" w14:textId="77777777" w:rsidR="00FB430C" w:rsidRDefault="00FB430C">
      <w:r>
        <w:separator/>
      </w:r>
    </w:p>
  </w:footnote>
  <w:footnote w:type="continuationSeparator" w:id="0">
    <w:p w14:paraId="00D76312" w14:textId="77777777" w:rsidR="00FB430C" w:rsidRDefault="00FB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82EC" w14:textId="61675A09" w:rsidR="00B9657F" w:rsidRDefault="00B9657F" w:rsidP="00F168D6">
    <w:pPr>
      <w:ind w:firstLine="720"/>
      <w:jc w:val="right"/>
      <w:rPr>
        <w:rFonts w:ascii="Avenir" w:hAnsi="Avenir"/>
        <w:sz w:val="32"/>
        <w:szCs w:val="32"/>
      </w:rPr>
    </w:pPr>
    <w:r>
      <w:rPr>
        <w:rFonts w:ascii="Avenir" w:hAnsi="Avenir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C25A80" wp14:editId="19E72F67">
          <wp:simplePos x="0" y="0"/>
          <wp:positionH relativeFrom="margin">
            <wp:posOffset>-729733</wp:posOffset>
          </wp:positionH>
          <wp:positionV relativeFrom="margin">
            <wp:posOffset>-3176550</wp:posOffset>
          </wp:positionV>
          <wp:extent cx="2131695" cy="556260"/>
          <wp:effectExtent l="19050" t="0" r="1905" b="0"/>
          <wp:wrapSquare wrapText="bothSides"/>
          <wp:docPr id="12" name="Picture 1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-Corporate Black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8D6">
      <w:rPr>
        <w:rFonts w:ascii="Avenir" w:hAnsi="Avenir"/>
        <w:sz w:val="32"/>
        <w:szCs w:val="32"/>
      </w:rPr>
      <w:t xml:space="preserve">   </w:t>
    </w:r>
    <w:r w:rsidR="00485057">
      <w:rPr>
        <w:rFonts w:ascii="Avenir" w:hAnsi="Avenir"/>
        <w:sz w:val="32"/>
        <w:szCs w:val="32"/>
      </w:rPr>
      <w:tab/>
    </w:r>
    <w:r>
      <w:rPr>
        <w:rFonts w:ascii="Avenir" w:hAnsi="Avenir"/>
        <w:sz w:val="32"/>
        <w:szCs w:val="32"/>
      </w:rPr>
      <w:t>SNF Nursing</w:t>
    </w:r>
    <w:r w:rsidRPr="0091763A">
      <w:rPr>
        <w:rFonts w:ascii="Avenir" w:hAnsi="Avenir"/>
        <w:sz w:val="32"/>
        <w:szCs w:val="32"/>
      </w:rPr>
      <w:t xml:space="preserve"> Policy</w:t>
    </w:r>
  </w:p>
  <w:p w14:paraId="0DC584D5" w14:textId="77777777" w:rsidR="00B9657F" w:rsidRPr="0091763A" w:rsidRDefault="00B9657F" w:rsidP="007D7417">
    <w:pPr>
      <w:jc w:val="right"/>
      <w:rPr>
        <w:rFonts w:ascii="Avenir" w:hAnsi="Avenir"/>
        <w:sz w:val="32"/>
        <w:szCs w:val="32"/>
      </w:rPr>
    </w:pPr>
  </w:p>
  <w:tbl>
    <w:tblPr>
      <w:tblW w:w="0" w:type="auto"/>
      <w:tblInd w:w="-4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71"/>
      <w:gridCol w:w="2878"/>
      <w:gridCol w:w="3881"/>
    </w:tblGrid>
    <w:tr w:rsidR="00485057" w:rsidRPr="0091763A" w14:paraId="2B88CFBC" w14:textId="77777777" w:rsidTr="00485057">
      <w:trPr>
        <w:trHeight w:val="432"/>
      </w:trPr>
      <w:tc>
        <w:tcPr>
          <w:tcW w:w="9630" w:type="dxa"/>
          <w:gridSpan w:val="3"/>
          <w:shd w:val="clear" w:color="auto" w:fill="D9D9D9" w:themeFill="background1" w:themeFillShade="D9"/>
          <w:vAlign w:val="center"/>
        </w:tcPr>
        <w:p w14:paraId="3B118E31" w14:textId="77777777" w:rsidR="00485057" w:rsidRPr="0091763A" w:rsidRDefault="00485057" w:rsidP="00485057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85057" w:rsidRPr="00383057" w14:paraId="2C2F17B4" w14:textId="77777777" w:rsidTr="00485057">
      <w:trPr>
        <w:trHeight w:val="432"/>
      </w:trPr>
      <w:tc>
        <w:tcPr>
          <w:tcW w:w="9630" w:type="dxa"/>
          <w:gridSpan w:val="3"/>
          <w:vAlign w:val="center"/>
        </w:tcPr>
        <w:p w14:paraId="2CAE0CD5" w14:textId="77777777" w:rsidR="00485057" w:rsidRPr="00C8242E" w:rsidRDefault="00485057" w:rsidP="00485057">
          <w:pPr>
            <w:rPr>
              <w:rFonts w:ascii="Georgia" w:eastAsiaTheme="minorHAnsi" w:hAnsi="Georgia" w:cstheme="minorBidi"/>
              <w:szCs w:val="24"/>
            </w:rPr>
          </w:pPr>
          <w:r>
            <w:rPr>
              <w:rFonts w:ascii="Georgia" w:hAnsi="Georgia"/>
              <w:bCs/>
              <w:szCs w:val="24"/>
            </w:rPr>
            <w:t>Glucometer Cleaning</w:t>
          </w:r>
        </w:p>
      </w:tc>
    </w:tr>
    <w:tr w:rsidR="00B9657F" w:rsidRPr="0091763A" w14:paraId="62611DA1" w14:textId="77777777" w:rsidTr="00485057">
      <w:tc>
        <w:tcPr>
          <w:tcW w:w="2871" w:type="dxa"/>
          <w:shd w:val="clear" w:color="auto" w:fill="D9D9D9" w:themeFill="background1" w:themeFillShade="D9"/>
        </w:tcPr>
        <w:p w14:paraId="25AD2371" w14:textId="77777777" w:rsidR="00B9657F" w:rsidRPr="0091763A" w:rsidRDefault="00B9657F" w:rsidP="00103BF9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287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E3571BA" w14:textId="77777777" w:rsidR="00B9657F" w:rsidRPr="0091763A" w:rsidRDefault="00B9657F" w:rsidP="00103BF9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881" w:type="dxa"/>
          <w:shd w:val="clear" w:color="auto" w:fill="D9D9D9" w:themeFill="background1" w:themeFillShade="D9"/>
        </w:tcPr>
        <w:p w14:paraId="6358D7F1" w14:textId="77777777" w:rsidR="00B9657F" w:rsidRPr="0091763A" w:rsidRDefault="00B9657F" w:rsidP="00103BF9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B9657F" w:rsidRPr="00383057" w14:paraId="40B8BFB0" w14:textId="77777777" w:rsidTr="00485057">
      <w:tc>
        <w:tcPr>
          <w:tcW w:w="2871" w:type="dxa"/>
        </w:tcPr>
        <w:p w14:paraId="42BA849A" w14:textId="77777777" w:rsidR="00B9657F" w:rsidRPr="00383057" w:rsidRDefault="00762516" w:rsidP="00103BF9">
          <w:pPr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8A160E">
            <w:rPr>
              <w:rFonts w:ascii="Georgia" w:eastAsiaTheme="minorHAnsi" w:hAnsi="Georgia" w:cstheme="minorBidi"/>
            </w:rPr>
            <w:t>1</w:t>
          </w:r>
          <w:r>
            <w:rPr>
              <w:rFonts w:ascii="Georgia" w:eastAsiaTheme="minorHAnsi" w:hAnsi="Georgia" w:cstheme="minorBidi"/>
            </w:rPr>
            <w:t>/</w:t>
          </w:r>
          <w:r w:rsidR="008A160E">
            <w:rPr>
              <w:rFonts w:ascii="Georgia" w:eastAsiaTheme="minorHAnsi" w:hAnsi="Georgia" w:cstheme="minorBidi"/>
            </w:rPr>
            <w:t>22</w:t>
          </w:r>
          <w:r>
            <w:rPr>
              <w:rFonts w:ascii="Georgia" w:eastAsiaTheme="minorHAnsi" w:hAnsi="Georgia" w:cstheme="minorBidi"/>
            </w:rPr>
            <w:t>/20</w:t>
          </w:r>
          <w:r w:rsidR="008A160E">
            <w:rPr>
              <w:rFonts w:ascii="Georgia" w:eastAsiaTheme="minorHAnsi" w:hAnsi="Georgia" w:cstheme="minorBidi"/>
            </w:rPr>
            <w:t>19</w:t>
          </w:r>
        </w:p>
      </w:tc>
      <w:tc>
        <w:tcPr>
          <w:tcW w:w="287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87DDCFE" w14:textId="686A1C58" w:rsidR="00B9657F" w:rsidRPr="00383057" w:rsidRDefault="00485057" w:rsidP="00103BF9">
          <w:pPr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03/31/2023</w:t>
          </w:r>
        </w:p>
      </w:tc>
      <w:tc>
        <w:tcPr>
          <w:tcW w:w="3881" w:type="dxa"/>
        </w:tcPr>
        <w:p w14:paraId="5F93B5F7" w14:textId="0F250763" w:rsidR="00B9657F" w:rsidRPr="00383057" w:rsidRDefault="00485057" w:rsidP="00103BF9">
          <w:pPr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03/31/2025</w:t>
          </w:r>
        </w:p>
      </w:tc>
    </w:tr>
    <w:tr w:rsidR="00485057" w:rsidRPr="0091763A" w14:paraId="11C2DE14" w14:textId="77777777" w:rsidTr="00485057">
      <w:trPr>
        <w:trHeight w:val="432"/>
      </w:trPr>
      <w:tc>
        <w:tcPr>
          <w:tcW w:w="9630" w:type="dxa"/>
          <w:gridSpan w:val="3"/>
          <w:shd w:val="clear" w:color="auto" w:fill="D9D9D9" w:themeFill="background1" w:themeFillShade="D9"/>
          <w:vAlign w:val="center"/>
        </w:tcPr>
        <w:p w14:paraId="025BAB2F" w14:textId="7EF56941" w:rsidR="00485057" w:rsidRPr="0091763A" w:rsidRDefault="00485057" w:rsidP="00485057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485057" w:rsidRPr="00383057" w14:paraId="3DD16125" w14:textId="77777777" w:rsidTr="00485057">
      <w:trPr>
        <w:trHeight w:val="432"/>
      </w:trPr>
      <w:tc>
        <w:tcPr>
          <w:tcW w:w="9630" w:type="dxa"/>
          <w:gridSpan w:val="3"/>
          <w:vAlign w:val="center"/>
        </w:tcPr>
        <w:p w14:paraId="368595D2" w14:textId="77777777" w:rsidR="00485057" w:rsidRPr="00383057" w:rsidRDefault="00485057" w:rsidP="00485057">
          <w:pPr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B9657F" w:rsidRPr="0091763A" w14:paraId="29E30907" w14:textId="77777777" w:rsidTr="00485057">
      <w:tc>
        <w:tcPr>
          <w:tcW w:w="963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488A9B3" w14:textId="77777777" w:rsidR="00B9657F" w:rsidRPr="0091763A" w:rsidRDefault="00B9657F" w:rsidP="00103BF9">
          <w:pPr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B9657F" w:rsidRPr="00934D41" w14:paraId="337BAB15" w14:textId="77777777" w:rsidTr="00485057">
      <w:tc>
        <w:tcPr>
          <w:tcW w:w="963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5DE1296" w14:textId="77777777" w:rsidR="00B9657F" w:rsidRPr="00934D41" w:rsidRDefault="00B9657F" w:rsidP="00103BF9">
          <w:pPr>
            <w:rPr>
              <w:rFonts w:eastAsiaTheme="minorHAnsi" w:cs="Arial"/>
              <w:sz w:val="10"/>
              <w:szCs w:val="10"/>
            </w:rPr>
          </w:pPr>
        </w:p>
      </w:tc>
    </w:tr>
  </w:tbl>
  <w:p w14:paraId="2A5F0D03" w14:textId="77777777" w:rsidR="00B9657F" w:rsidRDefault="00B96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BAC"/>
    <w:multiLevelType w:val="hybridMultilevel"/>
    <w:tmpl w:val="77BAA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F2292"/>
    <w:multiLevelType w:val="hybridMultilevel"/>
    <w:tmpl w:val="453687AE"/>
    <w:lvl w:ilvl="0" w:tplc="D480AF78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DA325C"/>
    <w:multiLevelType w:val="hybridMultilevel"/>
    <w:tmpl w:val="494EC14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5D8330F"/>
    <w:multiLevelType w:val="hybridMultilevel"/>
    <w:tmpl w:val="EE502A7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76374EB"/>
    <w:multiLevelType w:val="hybridMultilevel"/>
    <w:tmpl w:val="FC70F1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B6DC6"/>
    <w:multiLevelType w:val="hybridMultilevel"/>
    <w:tmpl w:val="1DF46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15C8D"/>
    <w:multiLevelType w:val="hybridMultilevel"/>
    <w:tmpl w:val="9032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46E8"/>
    <w:multiLevelType w:val="hybridMultilevel"/>
    <w:tmpl w:val="C80E681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B85501B"/>
    <w:multiLevelType w:val="hybridMultilevel"/>
    <w:tmpl w:val="A43281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B3739"/>
    <w:multiLevelType w:val="hybridMultilevel"/>
    <w:tmpl w:val="831E9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62228"/>
    <w:multiLevelType w:val="hybridMultilevel"/>
    <w:tmpl w:val="2D9AE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60CEE"/>
    <w:multiLevelType w:val="hybridMultilevel"/>
    <w:tmpl w:val="8A28B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35192"/>
    <w:multiLevelType w:val="hybridMultilevel"/>
    <w:tmpl w:val="B582D5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1584596"/>
    <w:multiLevelType w:val="hybridMultilevel"/>
    <w:tmpl w:val="0E3ECA06"/>
    <w:lvl w:ilvl="0" w:tplc="FFFFFFFF">
      <w:start w:val="1"/>
      <w:numFmt w:val="lowerLetter"/>
      <w:pStyle w:val="Heading4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7C500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DD6D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EC01D9"/>
    <w:multiLevelType w:val="hybridMultilevel"/>
    <w:tmpl w:val="CE38CBFE"/>
    <w:lvl w:ilvl="0" w:tplc="478C2518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3728D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FC488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333EEB"/>
    <w:multiLevelType w:val="hybridMultilevel"/>
    <w:tmpl w:val="893C39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8FC6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A6034E"/>
    <w:multiLevelType w:val="hybridMultilevel"/>
    <w:tmpl w:val="68B2CB6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757740"/>
    <w:multiLevelType w:val="hybridMultilevel"/>
    <w:tmpl w:val="4FBAEB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D3ADC"/>
    <w:multiLevelType w:val="hybridMultilevel"/>
    <w:tmpl w:val="ABEA9E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2823EE"/>
    <w:multiLevelType w:val="hybridMultilevel"/>
    <w:tmpl w:val="447E1BB2"/>
    <w:lvl w:ilvl="0" w:tplc="E960CD40">
      <w:start w:val="1"/>
      <w:numFmt w:val="decimal"/>
      <w:pStyle w:val="Heading3"/>
      <w:lvlText w:val="%1."/>
      <w:lvlJc w:val="left"/>
      <w:pPr>
        <w:tabs>
          <w:tab w:val="num" w:pos="1440"/>
        </w:tabs>
        <w:ind w:left="14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20"/>
  </w:num>
  <w:num w:numId="6">
    <w:abstractNumId w:val="19"/>
  </w:num>
  <w:num w:numId="7">
    <w:abstractNumId w:val="18"/>
  </w:num>
  <w:num w:numId="8">
    <w:abstractNumId w:val="17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  <w:num w:numId="17">
    <w:abstractNumId w:val="11"/>
  </w:num>
  <w:num w:numId="18">
    <w:abstractNumId w:val="1"/>
  </w:num>
  <w:num w:numId="19">
    <w:abstractNumId w:val="7"/>
  </w:num>
  <w:num w:numId="20">
    <w:abstractNumId w:val="2"/>
  </w:num>
  <w:num w:numId="2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QxtTSysLA0MTQ3MTVX0lEKTi0uzszPAykwrAUAvWkWiywAAAA="/>
  </w:docVars>
  <w:rsids>
    <w:rsidRoot w:val="006F7841"/>
    <w:rsid w:val="00032230"/>
    <w:rsid w:val="000A3327"/>
    <w:rsid w:val="001037F9"/>
    <w:rsid w:val="00103BF9"/>
    <w:rsid w:val="00106853"/>
    <w:rsid w:val="001308BE"/>
    <w:rsid w:val="00133C27"/>
    <w:rsid w:val="0019073A"/>
    <w:rsid w:val="001B56AD"/>
    <w:rsid w:val="001C127F"/>
    <w:rsid w:val="001E1F0F"/>
    <w:rsid w:val="00222735"/>
    <w:rsid w:val="00240BB2"/>
    <w:rsid w:val="00247447"/>
    <w:rsid w:val="00291BA1"/>
    <w:rsid w:val="00292703"/>
    <w:rsid w:val="002B3172"/>
    <w:rsid w:val="002C011C"/>
    <w:rsid w:val="00302946"/>
    <w:rsid w:val="00317F30"/>
    <w:rsid w:val="003200C8"/>
    <w:rsid w:val="00376F84"/>
    <w:rsid w:val="00382163"/>
    <w:rsid w:val="00406179"/>
    <w:rsid w:val="00420970"/>
    <w:rsid w:val="0047253F"/>
    <w:rsid w:val="0047668B"/>
    <w:rsid w:val="00485057"/>
    <w:rsid w:val="004D210F"/>
    <w:rsid w:val="00532EC1"/>
    <w:rsid w:val="00542B59"/>
    <w:rsid w:val="005E35F1"/>
    <w:rsid w:val="005F6653"/>
    <w:rsid w:val="006036F8"/>
    <w:rsid w:val="00610B69"/>
    <w:rsid w:val="006811C5"/>
    <w:rsid w:val="006940CC"/>
    <w:rsid w:val="006B0837"/>
    <w:rsid w:val="006C7EE0"/>
    <w:rsid w:val="006D0221"/>
    <w:rsid w:val="006F7841"/>
    <w:rsid w:val="00706AFA"/>
    <w:rsid w:val="007234E0"/>
    <w:rsid w:val="0074444A"/>
    <w:rsid w:val="00762516"/>
    <w:rsid w:val="007A1DE2"/>
    <w:rsid w:val="007B3399"/>
    <w:rsid w:val="007D7417"/>
    <w:rsid w:val="00860347"/>
    <w:rsid w:val="008A160E"/>
    <w:rsid w:val="008C0F9C"/>
    <w:rsid w:val="00903651"/>
    <w:rsid w:val="00934D41"/>
    <w:rsid w:val="009410C7"/>
    <w:rsid w:val="0095436A"/>
    <w:rsid w:val="00A204FB"/>
    <w:rsid w:val="00A50261"/>
    <w:rsid w:val="00AB0896"/>
    <w:rsid w:val="00B3539B"/>
    <w:rsid w:val="00B62DA6"/>
    <w:rsid w:val="00B94CAF"/>
    <w:rsid w:val="00B9657F"/>
    <w:rsid w:val="00BD66C5"/>
    <w:rsid w:val="00C13255"/>
    <w:rsid w:val="00C21A95"/>
    <w:rsid w:val="00C32A7E"/>
    <w:rsid w:val="00C37E46"/>
    <w:rsid w:val="00C40DFA"/>
    <w:rsid w:val="00C8242E"/>
    <w:rsid w:val="00CC3E63"/>
    <w:rsid w:val="00CF3E28"/>
    <w:rsid w:val="00D07603"/>
    <w:rsid w:val="00D312C9"/>
    <w:rsid w:val="00D44C3C"/>
    <w:rsid w:val="00D71BB5"/>
    <w:rsid w:val="00D824B9"/>
    <w:rsid w:val="00DF29D2"/>
    <w:rsid w:val="00E27B25"/>
    <w:rsid w:val="00E839F9"/>
    <w:rsid w:val="00EF1C4B"/>
    <w:rsid w:val="00EF29AA"/>
    <w:rsid w:val="00F168D6"/>
    <w:rsid w:val="00F54393"/>
    <w:rsid w:val="00FB430C"/>
    <w:rsid w:val="00FF1B94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2EFD2"/>
  <w15:docId w15:val="{32F48B70-629A-4DB4-8FB2-A1ABCB74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7F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037F9"/>
    <w:pPr>
      <w:keepNext/>
      <w:outlineLvl w:val="0"/>
    </w:pPr>
    <w:rPr>
      <w:b/>
    </w:rPr>
  </w:style>
  <w:style w:type="paragraph" w:styleId="Heading2">
    <w:name w:val="heading 2"/>
    <w:basedOn w:val="Normal"/>
    <w:next w:val="Index1"/>
    <w:qFormat/>
    <w:rsid w:val="001037F9"/>
    <w:pPr>
      <w:keepNext/>
      <w:numPr>
        <w:numId w:val="3"/>
      </w:numPr>
      <w:outlineLvl w:val="1"/>
    </w:pPr>
  </w:style>
  <w:style w:type="paragraph" w:styleId="Heading3">
    <w:name w:val="heading 3"/>
    <w:basedOn w:val="Normal"/>
    <w:next w:val="Normal"/>
    <w:autoRedefine/>
    <w:qFormat/>
    <w:rsid w:val="001037F9"/>
    <w:pPr>
      <w:keepNext/>
      <w:numPr>
        <w:numId w:val="5"/>
      </w:numPr>
      <w:outlineLvl w:val="2"/>
    </w:pPr>
  </w:style>
  <w:style w:type="paragraph" w:styleId="Heading4">
    <w:name w:val="heading 4"/>
    <w:basedOn w:val="Normal"/>
    <w:next w:val="Normal"/>
    <w:qFormat/>
    <w:rsid w:val="001037F9"/>
    <w:pPr>
      <w:keepNext/>
      <w:numPr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1037F9"/>
    <w:pPr>
      <w:keepNext/>
      <w:outlineLvl w:val="4"/>
    </w:pPr>
  </w:style>
  <w:style w:type="paragraph" w:styleId="Heading6">
    <w:name w:val="heading 6"/>
    <w:basedOn w:val="Normal"/>
    <w:next w:val="Normal"/>
    <w:qFormat/>
    <w:rsid w:val="001037F9"/>
    <w:pPr>
      <w:keepNext/>
      <w:ind w:left="720" w:firstLine="720"/>
      <w:outlineLvl w:val="5"/>
    </w:pPr>
  </w:style>
  <w:style w:type="paragraph" w:styleId="Heading7">
    <w:name w:val="heading 7"/>
    <w:basedOn w:val="Normal"/>
    <w:next w:val="Normal"/>
    <w:qFormat/>
    <w:rsid w:val="001037F9"/>
    <w:pPr>
      <w:keepNext/>
      <w:ind w:left="2160"/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rsid w:val="001037F9"/>
    <w:pPr>
      <w:keepNext/>
      <w:ind w:left="2880"/>
      <w:outlineLvl w:val="7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37F9"/>
  </w:style>
  <w:style w:type="paragraph" w:styleId="Header">
    <w:name w:val="header"/>
    <w:basedOn w:val="Normal"/>
    <w:semiHidden/>
    <w:rsid w:val="001037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037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037F9"/>
  </w:style>
  <w:style w:type="paragraph" w:styleId="BodyTextIndent">
    <w:name w:val="Body Text Indent"/>
    <w:basedOn w:val="Normal"/>
    <w:semiHidden/>
    <w:rsid w:val="001037F9"/>
    <w:pPr>
      <w:tabs>
        <w:tab w:val="num" w:pos="1080"/>
      </w:tabs>
      <w:ind w:left="720"/>
    </w:pPr>
  </w:style>
  <w:style w:type="paragraph" w:styleId="BodyTextIndent2">
    <w:name w:val="Body Text Indent 2"/>
    <w:basedOn w:val="Normal"/>
    <w:semiHidden/>
    <w:rsid w:val="001037F9"/>
    <w:pPr>
      <w:ind w:left="2160"/>
    </w:pPr>
  </w:style>
  <w:style w:type="paragraph" w:styleId="BodyTextIndent3">
    <w:name w:val="Body Text Indent 3"/>
    <w:basedOn w:val="Normal"/>
    <w:semiHidden/>
    <w:rsid w:val="001037F9"/>
    <w:pPr>
      <w:ind w:left="1440"/>
    </w:pPr>
  </w:style>
  <w:style w:type="paragraph" w:styleId="NormalWeb">
    <w:name w:val="Normal (Web)"/>
    <w:basedOn w:val="Normal"/>
    <w:semiHidden/>
    <w:rsid w:val="001037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Index1">
    <w:name w:val="index 1"/>
    <w:basedOn w:val="Normal"/>
    <w:next w:val="Normal"/>
    <w:autoRedefine/>
    <w:semiHidden/>
    <w:rsid w:val="001037F9"/>
    <w:pPr>
      <w:ind w:left="200" w:hanging="200"/>
    </w:pPr>
  </w:style>
  <w:style w:type="paragraph" w:customStyle="1" w:styleId="style1">
    <w:name w:val="style1"/>
    <w:basedOn w:val="Normal"/>
    <w:rsid w:val="001037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1037F9"/>
    <w:rPr>
      <w:b/>
      <w:bCs/>
    </w:rPr>
  </w:style>
  <w:style w:type="paragraph" w:customStyle="1" w:styleId="footertext">
    <w:name w:val="footertext"/>
    <w:basedOn w:val="Normal"/>
    <w:rsid w:val="001037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27B25"/>
    <w:rPr>
      <w:color w:val="0000FF"/>
      <w:u w:val="single"/>
    </w:rPr>
  </w:style>
  <w:style w:type="paragraph" w:customStyle="1" w:styleId="Default">
    <w:name w:val="Default"/>
    <w:rsid w:val="001068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7E"/>
    <w:rPr>
      <w:rFonts w:ascii="Tahoma" w:hAnsi="Tahoma" w:cs="Tahoma"/>
      <w:sz w:val="16"/>
      <w:szCs w:val="16"/>
    </w:rPr>
  </w:style>
  <w:style w:type="character" w:customStyle="1" w:styleId="sc1">
    <w:name w:val="sc1"/>
    <w:basedOn w:val="DefaultParagraphFont"/>
    <w:rsid w:val="006811C5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9686-1506-4471-9DBD-3DAAB4F5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 Abuse and Neglect</vt:lpstr>
    </vt:vector>
  </TitlesOfParts>
  <Company>OPRS</Company>
  <LinksUpToDate>false</LinksUpToDate>
  <CharactersWithSpaces>1257</CharactersWithSpaces>
  <SharedDoc>false</SharedDoc>
  <HLinks>
    <vt:vector size="12" baseType="variant"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https://odhgateway.odh.ohio.gov/</vt:lpwstr>
      </vt:variant>
      <vt:variant>
        <vt:lpwstr/>
      </vt:variant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https://odhgateway.odh.ohio.gov/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 Abuse and Neglect</dc:title>
  <dc:creator>Sally J. Huston</dc:creator>
  <cp:lastModifiedBy>Lauren Mathis</cp:lastModifiedBy>
  <cp:revision>3</cp:revision>
  <cp:lastPrinted>2002-02-03T20:35:00Z</cp:lastPrinted>
  <dcterms:created xsi:type="dcterms:W3CDTF">2023-04-05T16:55:00Z</dcterms:created>
  <dcterms:modified xsi:type="dcterms:W3CDTF">2023-04-05T16:58:00Z</dcterms:modified>
</cp:coreProperties>
</file>