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4099" w14:textId="77777777" w:rsidR="00AA7F0B" w:rsidRPr="005F4D1B" w:rsidRDefault="00AA7F0B" w:rsidP="00AA7F0B">
      <w:pPr>
        <w:pStyle w:val="Heading3"/>
        <w:rPr>
          <w:rFonts w:ascii="Avenir" w:hAnsi="Avenir"/>
          <w:sz w:val="22"/>
        </w:rPr>
      </w:pPr>
      <w:r w:rsidRPr="005F4D1B">
        <w:rPr>
          <w:rFonts w:ascii="Avenir" w:hAnsi="Avenir"/>
          <w:sz w:val="22"/>
        </w:rPr>
        <w:t>PURPOSE</w:t>
      </w:r>
    </w:p>
    <w:p w14:paraId="7E84FBBB" w14:textId="77777777" w:rsidR="001E0FB6" w:rsidRDefault="001E0FB6" w:rsidP="001E0FB6">
      <w:pPr>
        <w:spacing w:after="0" w:line="240" w:lineRule="auto"/>
        <w:rPr>
          <w:rFonts w:ascii="Georgia" w:hAnsi="Georgia"/>
        </w:rPr>
      </w:pPr>
    </w:p>
    <w:p w14:paraId="4EBA2015" w14:textId="77777777" w:rsidR="003457EF" w:rsidRPr="002436C2" w:rsidRDefault="003457EF" w:rsidP="003457EF">
      <w:pPr>
        <w:rPr>
          <w:rFonts w:ascii="Georgia" w:hAnsi="Georgia"/>
          <w:b/>
        </w:rPr>
      </w:pPr>
      <w:r w:rsidRPr="002436C2">
        <w:rPr>
          <w:rFonts w:ascii="Georgia" w:hAnsi="Georgia"/>
        </w:rPr>
        <w:t>To establish the criteria for admitting</w:t>
      </w:r>
      <w:r>
        <w:rPr>
          <w:rFonts w:ascii="Georgia" w:hAnsi="Georgia"/>
        </w:rPr>
        <w:t xml:space="preserve"> and continuing</w:t>
      </w:r>
      <w:r w:rsidRPr="002436C2">
        <w:rPr>
          <w:rFonts w:ascii="Georgia" w:hAnsi="Georgia"/>
        </w:rPr>
        <w:t xml:space="preserve"> general inpatient </w:t>
      </w:r>
      <w:r w:rsidR="0039188A">
        <w:rPr>
          <w:rFonts w:ascii="Georgia" w:hAnsi="Georgia"/>
        </w:rPr>
        <w:t xml:space="preserve">and respite levels of </w:t>
      </w:r>
      <w:r>
        <w:rPr>
          <w:rFonts w:ascii="Georgia" w:hAnsi="Georgia"/>
        </w:rPr>
        <w:t>care</w:t>
      </w:r>
      <w:r w:rsidRPr="002436C2">
        <w:rPr>
          <w:rFonts w:ascii="Georgia" w:hAnsi="Georgia"/>
        </w:rPr>
        <w:t>.</w:t>
      </w:r>
    </w:p>
    <w:p w14:paraId="556D95E0" w14:textId="77777777" w:rsidR="005F4D1B" w:rsidRDefault="005F4D1B" w:rsidP="005F4D1B">
      <w:pPr>
        <w:pStyle w:val="Heading3"/>
        <w:rPr>
          <w:rFonts w:ascii="Avenir" w:hAnsi="Avenir"/>
          <w:sz w:val="22"/>
        </w:rPr>
      </w:pPr>
      <w:bookmarkStart w:id="0" w:name="_Hlk6578093"/>
      <w:r w:rsidRPr="005F4D1B">
        <w:rPr>
          <w:rFonts w:ascii="Avenir" w:hAnsi="Avenir"/>
          <w:sz w:val="22"/>
        </w:rPr>
        <w:t>P</w:t>
      </w:r>
      <w:r>
        <w:rPr>
          <w:rFonts w:ascii="Avenir" w:hAnsi="Avenir"/>
          <w:sz w:val="22"/>
        </w:rPr>
        <w:t>olicy</w:t>
      </w:r>
    </w:p>
    <w:bookmarkEnd w:id="0"/>
    <w:p w14:paraId="681BA0D1" w14:textId="77777777" w:rsidR="001E0FB6" w:rsidRDefault="001E0FB6" w:rsidP="003457EF">
      <w:pPr>
        <w:spacing w:after="0" w:line="240" w:lineRule="auto"/>
        <w:rPr>
          <w:rFonts w:ascii="Georgia" w:hAnsi="Georgia"/>
        </w:rPr>
      </w:pPr>
    </w:p>
    <w:p w14:paraId="06F56817" w14:textId="6045BCB5" w:rsidR="003457EF" w:rsidRPr="002436C2" w:rsidRDefault="003457EF" w:rsidP="003457EF">
      <w:pPr>
        <w:spacing w:after="0" w:line="240" w:lineRule="auto"/>
        <w:rPr>
          <w:rFonts w:ascii="Georgia" w:hAnsi="Georgia"/>
        </w:rPr>
      </w:pPr>
      <w:r w:rsidRPr="002436C2">
        <w:rPr>
          <w:rFonts w:ascii="Georgia" w:hAnsi="Georgia"/>
        </w:rPr>
        <w:t xml:space="preserve">General inpatient </w:t>
      </w:r>
      <w:r w:rsidR="0039188A">
        <w:rPr>
          <w:rFonts w:ascii="Georgia" w:hAnsi="Georgia"/>
        </w:rPr>
        <w:t xml:space="preserve">level of </w:t>
      </w:r>
      <w:r w:rsidRPr="002436C2">
        <w:rPr>
          <w:rFonts w:ascii="Georgia" w:hAnsi="Georgia"/>
        </w:rPr>
        <w:t>care</w:t>
      </w:r>
      <w:r w:rsidR="0039188A">
        <w:rPr>
          <w:rFonts w:ascii="Georgia" w:hAnsi="Georgia"/>
        </w:rPr>
        <w:t xml:space="preserve"> </w:t>
      </w:r>
      <w:r w:rsidR="00691A1E">
        <w:rPr>
          <w:rFonts w:ascii="Georgia" w:hAnsi="Georgia"/>
        </w:rPr>
        <w:t xml:space="preserve">(GIP) </w:t>
      </w:r>
      <w:r w:rsidR="0039188A">
        <w:rPr>
          <w:rFonts w:ascii="Georgia" w:hAnsi="Georgia"/>
        </w:rPr>
        <w:t xml:space="preserve">and respite level of care </w:t>
      </w:r>
      <w:r w:rsidRPr="002436C2">
        <w:rPr>
          <w:rFonts w:ascii="Georgia" w:hAnsi="Georgia"/>
        </w:rPr>
        <w:t>will be provided as specified under the Medicare, Medicaid, and specific private insurance hospice benefits.  Inpatient care may be recommended in other circumstances not related to the terminal illness but will not be the financial responsibility of Ohio Living.</w:t>
      </w:r>
    </w:p>
    <w:p w14:paraId="0FA6FEFE" w14:textId="77777777" w:rsidR="003457EF" w:rsidRDefault="003457EF" w:rsidP="003457EF">
      <w:pPr>
        <w:spacing w:after="0" w:line="240" w:lineRule="auto"/>
        <w:rPr>
          <w:rFonts w:ascii="Georgia" w:hAnsi="Georgia"/>
        </w:rPr>
      </w:pPr>
    </w:p>
    <w:p w14:paraId="14911870" w14:textId="41E58043" w:rsidR="00196F83" w:rsidRDefault="00CB0068" w:rsidP="003457EF">
      <w:pPr>
        <w:spacing w:after="0" w:line="240" w:lineRule="auto"/>
        <w:rPr>
          <w:rFonts w:ascii="Georgia" w:hAnsi="Georgia"/>
        </w:rPr>
      </w:pPr>
      <w:r>
        <w:rPr>
          <w:rFonts w:ascii="Georgia" w:hAnsi="Georgia"/>
        </w:rPr>
        <w:t xml:space="preserve">Short-term </w:t>
      </w:r>
      <w:r w:rsidR="00691A1E">
        <w:rPr>
          <w:rFonts w:ascii="Georgia" w:hAnsi="Georgia"/>
        </w:rPr>
        <w:t xml:space="preserve">general </w:t>
      </w:r>
      <w:r w:rsidR="00196F83">
        <w:rPr>
          <w:rFonts w:ascii="Georgia" w:hAnsi="Georgia"/>
        </w:rPr>
        <w:t xml:space="preserve">inpatient level of care </w:t>
      </w:r>
      <w:r>
        <w:rPr>
          <w:rFonts w:ascii="Georgia" w:hAnsi="Georgia"/>
        </w:rPr>
        <w:t xml:space="preserve">is available </w:t>
      </w:r>
      <w:r w:rsidR="00196F83">
        <w:rPr>
          <w:rFonts w:ascii="Georgia" w:hAnsi="Georgia"/>
        </w:rPr>
        <w:t>when the patient requires palliation for acute medical</w:t>
      </w:r>
      <w:r>
        <w:rPr>
          <w:rFonts w:ascii="Georgia" w:hAnsi="Georgia"/>
        </w:rPr>
        <w:t xml:space="preserve"> reasons, symptom management</w:t>
      </w:r>
      <w:r w:rsidR="00196F83">
        <w:rPr>
          <w:rFonts w:ascii="Georgia" w:hAnsi="Georgia"/>
        </w:rPr>
        <w:t xml:space="preserve"> and/or pain control</w:t>
      </w:r>
      <w:r>
        <w:rPr>
          <w:rFonts w:ascii="Georgia" w:hAnsi="Georgia"/>
        </w:rPr>
        <w:t xml:space="preserve"> and must be provided in a participating Medicare or Medicaid facility</w:t>
      </w:r>
      <w:r w:rsidR="00196F83">
        <w:rPr>
          <w:rFonts w:ascii="Georgia" w:hAnsi="Georgia"/>
        </w:rPr>
        <w:t xml:space="preserve">. </w:t>
      </w:r>
      <w:r w:rsidR="0039188A">
        <w:rPr>
          <w:rFonts w:ascii="Georgia" w:hAnsi="Georgia"/>
        </w:rPr>
        <w:t xml:space="preserve">General </w:t>
      </w:r>
      <w:r>
        <w:rPr>
          <w:rFonts w:ascii="Georgia" w:hAnsi="Georgia"/>
        </w:rPr>
        <w:t xml:space="preserve">Inpatient </w:t>
      </w:r>
      <w:r w:rsidR="0039188A">
        <w:rPr>
          <w:rFonts w:ascii="Georgia" w:hAnsi="Georgia"/>
        </w:rPr>
        <w:t xml:space="preserve">level of care </w:t>
      </w:r>
      <w:r>
        <w:rPr>
          <w:rFonts w:ascii="Georgia" w:hAnsi="Georgia"/>
        </w:rPr>
        <w:t xml:space="preserve">and respite </w:t>
      </w:r>
      <w:r w:rsidR="0039188A">
        <w:rPr>
          <w:rFonts w:ascii="Georgia" w:hAnsi="Georgia"/>
        </w:rPr>
        <w:t xml:space="preserve">level of </w:t>
      </w:r>
      <w:r>
        <w:rPr>
          <w:rFonts w:ascii="Georgia" w:hAnsi="Georgia"/>
        </w:rPr>
        <w:t>care can be provided in a hospital or skilled nursing facility</w:t>
      </w:r>
      <w:r w:rsidR="0039188A">
        <w:rPr>
          <w:rFonts w:ascii="Georgia" w:hAnsi="Georgia"/>
        </w:rPr>
        <w:t>. General Inpatient level of care requires a facility</w:t>
      </w:r>
      <w:r>
        <w:rPr>
          <w:rFonts w:ascii="Georgia" w:hAnsi="Georgia"/>
        </w:rPr>
        <w:t xml:space="preserve"> that </w:t>
      </w:r>
      <w:r w:rsidR="00EF6C0A">
        <w:rPr>
          <w:rFonts w:ascii="Georgia" w:hAnsi="Georgia"/>
        </w:rPr>
        <w:t>provides 24</w:t>
      </w:r>
      <w:r w:rsidR="00AD15D2">
        <w:rPr>
          <w:rFonts w:ascii="Georgia" w:hAnsi="Georgia"/>
        </w:rPr>
        <w:t>-hour registered nursing coverage</w:t>
      </w:r>
      <w:r>
        <w:rPr>
          <w:rFonts w:ascii="Georgia" w:hAnsi="Georgia"/>
        </w:rPr>
        <w:t xml:space="preserve">.  </w:t>
      </w:r>
    </w:p>
    <w:p w14:paraId="1D634314" w14:textId="77777777" w:rsidR="00196F83" w:rsidRDefault="00196F83" w:rsidP="003457EF">
      <w:pPr>
        <w:spacing w:after="0" w:line="240" w:lineRule="auto"/>
        <w:rPr>
          <w:rFonts w:ascii="Georgia" w:hAnsi="Georgia"/>
        </w:rPr>
      </w:pPr>
    </w:p>
    <w:p w14:paraId="04110733" w14:textId="77777777" w:rsidR="003457EF" w:rsidRPr="002436C2" w:rsidRDefault="003457EF" w:rsidP="003457EF">
      <w:pPr>
        <w:spacing w:after="0" w:line="240" w:lineRule="auto"/>
        <w:rPr>
          <w:rFonts w:ascii="Georgia" w:hAnsi="Georgia"/>
        </w:rPr>
      </w:pPr>
      <w:r w:rsidRPr="002436C2">
        <w:rPr>
          <w:rFonts w:ascii="Georgia" w:hAnsi="Georgia"/>
        </w:rPr>
        <w:t>Hospice personnel will be available 24 hours a day for clinical consultation to the inpatient personnel.</w:t>
      </w:r>
    </w:p>
    <w:p w14:paraId="1C4DD418" w14:textId="77777777" w:rsidR="003457EF" w:rsidRPr="002436C2" w:rsidRDefault="003457EF" w:rsidP="003457EF">
      <w:pPr>
        <w:spacing w:after="0" w:line="240" w:lineRule="auto"/>
        <w:rPr>
          <w:rFonts w:ascii="Georgia" w:hAnsi="Georgia"/>
        </w:rPr>
      </w:pPr>
    </w:p>
    <w:p w14:paraId="70CE68C5" w14:textId="77777777" w:rsidR="003457EF" w:rsidRPr="002436C2" w:rsidRDefault="003457EF" w:rsidP="003457EF">
      <w:pPr>
        <w:spacing w:after="0" w:line="240" w:lineRule="auto"/>
        <w:rPr>
          <w:rFonts w:ascii="Georgia" w:hAnsi="Georgia"/>
        </w:rPr>
      </w:pPr>
      <w:r w:rsidRPr="002436C2">
        <w:rPr>
          <w:rFonts w:ascii="Georgia" w:hAnsi="Georgia"/>
        </w:rPr>
        <w:t>Home management will always be the preferred method over hospitalization.</w:t>
      </w:r>
    </w:p>
    <w:p w14:paraId="3996356B" w14:textId="77777777" w:rsidR="003457EF" w:rsidRPr="002436C2" w:rsidRDefault="003457EF" w:rsidP="003457EF">
      <w:pPr>
        <w:spacing w:after="0" w:line="240" w:lineRule="auto"/>
        <w:rPr>
          <w:rFonts w:ascii="Georgia" w:hAnsi="Georgia"/>
        </w:rPr>
      </w:pPr>
    </w:p>
    <w:p w14:paraId="528C1A6B" w14:textId="332DF0B0" w:rsidR="003457EF" w:rsidRPr="002436C2" w:rsidRDefault="003457EF" w:rsidP="003457EF">
      <w:pPr>
        <w:spacing w:after="0" w:line="240" w:lineRule="auto"/>
        <w:rPr>
          <w:rFonts w:ascii="Georgia" w:hAnsi="Georgia"/>
        </w:rPr>
      </w:pPr>
      <w:r w:rsidRPr="002436C2">
        <w:rPr>
          <w:rFonts w:ascii="Georgia" w:hAnsi="Georgia"/>
        </w:rPr>
        <w:t xml:space="preserve">General </w:t>
      </w:r>
      <w:r w:rsidR="00EF6C0A" w:rsidRPr="002436C2">
        <w:rPr>
          <w:rFonts w:ascii="Georgia" w:hAnsi="Georgia"/>
        </w:rPr>
        <w:t>inpatient level</w:t>
      </w:r>
      <w:r w:rsidRPr="002436C2">
        <w:rPr>
          <w:rFonts w:ascii="Georgia" w:hAnsi="Georgia"/>
        </w:rPr>
        <w:t xml:space="preserve"> of care is a short-term level of care for </w:t>
      </w:r>
      <w:r w:rsidR="00AD15D2">
        <w:rPr>
          <w:rFonts w:ascii="Georgia" w:hAnsi="Georgia"/>
        </w:rPr>
        <w:t xml:space="preserve">symptom </w:t>
      </w:r>
      <w:r w:rsidR="00691A1E">
        <w:rPr>
          <w:rFonts w:ascii="Georgia" w:hAnsi="Georgia"/>
        </w:rPr>
        <w:t xml:space="preserve">management </w:t>
      </w:r>
      <w:r w:rsidR="00691A1E" w:rsidRPr="002436C2">
        <w:rPr>
          <w:rFonts w:ascii="Georgia" w:hAnsi="Georgia"/>
        </w:rPr>
        <w:t>that</w:t>
      </w:r>
      <w:r w:rsidRPr="002436C2">
        <w:rPr>
          <w:rFonts w:ascii="Georgia" w:hAnsi="Georgia"/>
        </w:rPr>
        <w:t xml:space="preserve"> </w:t>
      </w:r>
      <w:r w:rsidR="00691A1E">
        <w:rPr>
          <w:rFonts w:ascii="Georgia" w:hAnsi="Georgia"/>
        </w:rPr>
        <w:t xml:space="preserve">is used when care </w:t>
      </w:r>
      <w:r w:rsidRPr="002436C2">
        <w:rPr>
          <w:rFonts w:ascii="Georgia" w:hAnsi="Georgia"/>
        </w:rPr>
        <w:t xml:space="preserve">cannot feasibly be provided at home. </w:t>
      </w:r>
    </w:p>
    <w:p w14:paraId="63DE5ED3" w14:textId="77777777" w:rsidR="00D927EC" w:rsidRDefault="00D927EC" w:rsidP="003457EF">
      <w:pPr>
        <w:pStyle w:val="Heading3"/>
        <w:rPr>
          <w:rFonts w:ascii="Avenir" w:hAnsi="Avenir"/>
          <w:b w:val="0"/>
          <w:caps w:val="0"/>
          <w:sz w:val="22"/>
        </w:rPr>
      </w:pPr>
    </w:p>
    <w:p w14:paraId="64E8AA54" w14:textId="77777777" w:rsidR="00D927EC" w:rsidRDefault="00D927EC" w:rsidP="00D927EC">
      <w:pPr>
        <w:pStyle w:val="Heading3"/>
        <w:rPr>
          <w:rFonts w:ascii="Avenir" w:hAnsi="Avenir"/>
          <w:sz w:val="22"/>
        </w:rPr>
      </w:pPr>
      <w:r w:rsidRPr="005F4D1B">
        <w:rPr>
          <w:rFonts w:ascii="Avenir" w:hAnsi="Avenir"/>
          <w:sz w:val="22"/>
        </w:rPr>
        <w:t>P</w:t>
      </w:r>
      <w:r>
        <w:rPr>
          <w:rFonts w:ascii="Avenir" w:hAnsi="Avenir"/>
          <w:sz w:val="22"/>
        </w:rPr>
        <w:t>RocEDURE</w:t>
      </w:r>
    </w:p>
    <w:p w14:paraId="4CDB4503" w14:textId="77777777" w:rsidR="001E0FB6" w:rsidRDefault="001E0FB6" w:rsidP="001E0FB6">
      <w:pPr>
        <w:pStyle w:val="BodyTextIndent"/>
        <w:ind w:firstLine="0"/>
        <w:rPr>
          <w:rFonts w:ascii="Georgia" w:hAnsi="Georgia"/>
        </w:rPr>
      </w:pPr>
    </w:p>
    <w:p w14:paraId="12F35E88" w14:textId="76431BEA" w:rsidR="003457EF" w:rsidRDefault="00691A1E" w:rsidP="003457EF">
      <w:pPr>
        <w:pStyle w:val="BodyTextIndent"/>
        <w:numPr>
          <w:ilvl w:val="0"/>
          <w:numId w:val="8"/>
        </w:numPr>
        <w:tabs>
          <w:tab w:val="clear" w:pos="720"/>
        </w:tabs>
        <w:ind w:left="432" w:hanging="432"/>
        <w:rPr>
          <w:rFonts w:ascii="Georgia" w:hAnsi="Georgia"/>
        </w:rPr>
      </w:pPr>
      <w:r>
        <w:rPr>
          <w:rFonts w:ascii="Georgia" w:hAnsi="Georgia"/>
        </w:rPr>
        <w:t xml:space="preserve">Transfer from routine to General inpatient level of care </w:t>
      </w:r>
      <w:r w:rsidR="003457EF" w:rsidRPr="002436C2">
        <w:rPr>
          <w:rFonts w:ascii="Georgia" w:hAnsi="Georgia"/>
        </w:rPr>
        <w:t>decisions are made on an individual case-by-case basis after evaluation by the hospice interdisciplinary group and in consultation with the patient's attending physician</w:t>
      </w:r>
      <w:r w:rsidR="000C60BE">
        <w:rPr>
          <w:rFonts w:ascii="Georgia" w:hAnsi="Georgia"/>
        </w:rPr>
        <w:t xml:space="preserve"> and Hospice Medical Director</w:t>
      </w:r>
      <w:r w:rsidR="003457EF" w:rsidRPr="002436C2">
        <w:rPr>
          <w:rFonts w:ascii="Georgia" w:hAnsi="Georgia"/>
        </w:rPr>
        <w:t>.</w:t>
      </w:r>
      <w:r w:rsidR="00CB0068" w:rsidRPr="00CB0068">
        <w:rPr>
          <w:rFonts w:ascii="Georgia" w:hAnsi="Georgia"/>
        </w:rPr>
        <w:t xml:space="preserve"> </w:t>
      </w:r>
      <w:r w:rsidR="0039188A">
        <w:rPr>
          <w:rFonts w:ascii="Georgia" w:hAnsi="Georgia"/>
        </w:rPr>
        <w:t>C</w:t>
      </w:r>
      <w:r w:rsidR="00CB0068" w:rsidRPr="002436C2">
        <w:rPr>
          <w:rFonts w:ascii="Georgia" w:hAnsi="Georgia"/>
        </w:rPr>
        <w:t xml:space="preserve">riteria </w:t>
      </w:r>
      <w:bookmarkStart w:id="1" w:name="_Hlk111722695"/>
      <w:r w:rsidR="00CB0068" w:rsidRPr="002436C2">
        <w:rPr>
          <w:rFonts w:ascii="Georgia" w:hAnsi="Georgia"/>
        </w:rPr>
        <w:t>for the patient to be considered appropriate for admission for general inpatient</w:t>
      </w:r>
      <w:r w:rsidR="0039188A">
        <w:rPr>
          <w:rFonts w:ascii="Georgia" w:hAnsi="Georgia"/>
        </w:rPr>
        <w:t xml:space="preserve"> level of </w:t>
      </w:r>
      <w:r w:rsidR="00CB0068" w:rsidRPr="002436C2">
        <w:rPr>
          <w:rFonts w:ascii="Georgia" w:hAnsi="Georgia"/>
        </w:rPr>
        <w:t>care</w:t>
      </w:r>
      <w:r w:rsidR="00CB0068">
        <w:rPr>
          <w:rFonts w:ascii="Georgia" w:hAnsi="Georgia"/>
        </w:rPr>
        <w:t xml:space="preserve"> may include but are not limited to the following:</w:t>
      </w:r>
      <w:bookmarkEnd w:id="1"/>
    </w:p>
    <w:p w14:paraId="1D7E441A" w14:textId="77777777" w:rsidR="003457EF" w:rsidRPr="006A6A5F" w:rsidRDefault="00CB0068" w:rsidP="00254C74">
      <w:pPr>
        <w:pStyle w:val="BodyTextIndent"/>
        <w:numPr>
          <w:ilvl w:val="1"/>
          <w:numId w:val="8"/>
        </w:numPr>
        <w:tabs>
          <w:tab w:val="clear" w:pos="1560"/>
        </w:tabs>
        <w:ind w:left="900"/>
        <w:rPr>
          <w:rFonts w:ascii="Georgia" w:hAnsi="Georgia"/>
          <w:sz w:val="24"/>
        </w:rPr>
      </w:pPr>
      <w:r w:rsidRPr="006A6A5F">
        <w:rPr>
          <w:rFonts w:ascii="Georgia" w:hAnsi="Georgia"/>
          <w:szCs w:val="20"/>
        </w:rPr>
        <w:lastRenderedPageBreak/>
        <w:t>Pain evaluation to adjust medication and/or determine appropriate treatment.</w:t>
      </w:r>
    </w:p>
    <w:p w14:paraId="100751DF" w14:textId="77777777" w:rsidR="00D23825" w:rsidRPr="006A6A5F" w:rsidRDefault="00CB0068" w:rsidP="00254C74">
      <w:pPr>
        <w:pStyle w:val="BodyTextIndent"/>
        <w:numPr>
          <w:ilvl w:val="1"/>
          <w:numId w:val="8"/>
        </w:numPr>
        <w:tabs>
          <w:tab w:val="clear" w:pos="1560"/>
        </w:tabs>
        <w:ind w:left="900"/>
        <w:rPr>
          <w:rFonts w:ascii="Georgia" w:hAnsi="Georgia"/>
          <w:sz w:val="24"/>
        </w:rPr>
      </w:pPr>
      <w:r w:rsidRPr="006A6A5F">
        <w:rPr>
          <w:rFonts w:ascii="Georgia" w:hAnsi="Georgia"/>
          <w:szCs w:val="20"/>
        </w:rPr>
        <w:t>Intractable or protracted nausea incompatible with management in a home settin</w:t>
      </w:r>
      <w:r w:rsidR="00D23825" w:rsidRPr="006A6A5F">
        <w:rPr>
          <w:rFonts w:ascii="Georgia" w:hAnsi="Georgia"/>
          <w:szCs w:val="20"/>
        </w:rPr>
        <w:t>g</w:t>
      </w:r>
      <w:r w:rsidR="00254C74">
        <w:rPr>
          <w:rFonts w:ascii="Georgia" w:hAnsi="Georgia"/>
          <w:szCs w:val="20"/>
        </w:rPr>
        <w:t>.</w:t>
      </w:r>
    </w:p>
    <w:p w14:paraId="03DC82E0" w14:textId="77777777" w:rsidR="00D23825" w:rsidRPr="00D23825" w:rsidRDefault="00D23825" w:rsidP="00254C74">
      <w:pPr>
        <w:pStyle w:val="BodyTextIndent"/>
        <w:numPr>
          <w:ilvl w:val="1"/>
          <w:numId w:val="8"/>
        </w:numPr>
        <w:tabs>
          <w:tab w:val="clear" w:pos="1560"/>
        </w:tabs>
        <w:ind w:left="900"/>
        <w:rPr>
          <w:rFonts w:ascii="Georgia" w:hAnsi="Georgia"/>
        </w:rPr>
      </w:pPr>
      <w:r w:rsidRPr="00D23825">
        <w:rPr>
          <w:rFonts w:ascii="Georgia" w:hAnsi="Georgia"/>
        </w:rPr>
        <w:t>Severe shortness of breath or respiratory distress that creates an unmanageable situation for patient and family/caregiver in home care setting.</w:t>
      </w:r>
    </w:p>
    <w:p w14:paraId="3D957AF4" w14:textId="77777777" w:rsidR="00D23825" w:rsidRPr="002436C2" w:rsidRDefault="00D23825" w:rsidP="00254C74">
      <w:pPr>
        <w:pStyle w:val="BodyTextIndent3"/>
        <w:numPr>
          <w:ilvl w:val="1"/>
          <w:numId w:val="8"/>
        </w:numPr>
        <w:tabs>
          <w:tab w:val="clear" w:pos="1560"/>
        </w:tabs>
        <w:spacing w:after="0"/>
        <w:ind w:left="900"/>
        <w:rPr>
          <w:rFonts w:ascii="Georgia" w:hAnsi="Georgia"/>
          <w:sz w:val="22"/>
          <w:szCs w:val="22"/>
        </w:rPr>
      </w:pPr>
      <w:r w:rsidRPr="002436C2">
        <w:rPr>
          <w:rFonts w:ascii="Georgia" w:hAnsi="Georgia"/>
          <w:sz w:val="22"/>
          <w:szCs w:val="22"/>
        </w:rPr>
        <w:t>Open lesions requiring frequent professional care (decubiti, malignant ulcerations, burns, severe abrasions or fistulas—at least b.i.d. dressing changes).</w:t>
      </w:r>
    </w:p>
    <w:p w14:paraId="2A9AC998" w14:textId="77777777" w:rsidR="00D23825" w:rsidRPr="002436C2" w:rsidRDefault="00D23825" w:rsidP="00254C74">
      <w:pPr>
        <w:pStyle w:val="BodyTextIndent3"/>
        <w:numPr>
          <w:ilvl w:val="1"/>
          <w:numId w:val="8"/>
        </w:numPr>
        <w:tabs>
          <w:tab w:val="clear" w:pos="1560"/>
        </w:tabs>
        <w:spacing w:after="0"/>
        <w:ind w:left="900"/>
        <w:rPr>
          <w:rFonts w:ascii="Georgia" w:hAnsi="Georgia"/>
          <w:sz w:val="22"/>
          <w:szCs w:val="22"/>
        </w:rPr>
      </w:pPr>
      <w:r w:rsidRPr="002436C2">
        <w:rPr>
          <w:rFonts w:ascii="Georgia" w:hAnsi="Georgia"/>
          <w:sz w:val="22"/>
          <w:szCs w:val="22"/>
        </w:rPr>
        <w:t>Rapid decline related to varied factors, such as bleeding, that are inconsistent with home management.</w:t>
      </w:r>
    </w:p>
    <w:p w14:paraId="0F3495BA" w14:textId="77777777" w:rsidR="00D23825" w:rsidRDefault="00D23825" w:rsidP="00254C74">
      <w:pPr>
        <w:pStyle w:val="BodyTextIndent3"/>
        <w:numPr>
          <w:ilvl w:val="1"/>
          <w:numId w:val="8"/>
        </w:numPr>
        <w:tabs>
          <w:tab w:val="clear" w:pos="1560"/>
        </w:tabs>
        <w:spacing w:after="0"/>
        <w:ind w:left="900"/>
        <w:rPr>
          <w:rFonts w:ascii="Georgia" w:hAnsi="Georgia"/>
          <w:sz w:val="22"/>
          <w:szCs w:val="22"/>
        </w:rPr>
      </w:pPr>
      <w:r w:rsidRPr="002436C2">
        <w:rPr>
          <w:rFonts w:ascii="Georgia" w:hAnsi="Georgia"/>
          <w:sz w:val="22"/>
          <w:szCs w:val="22"/>
        </w:rPr>
        <w:t>Fluctuating/deteriorating mental status, psychosis, severe confusion and/or combativeness necessitating titration of medications, change in environment, or consultation and intervention by psychologist or psychiatrist.</w:t>
      </w:r>
    </w:p>
    <w:p w14:paraId="6F60BB50" w14:textId="77777777" w:rsidR="00D23825" w:rsidRPr="002436C2" w:rsidRDefault="00D23825" w:rsidP="00254C74">
      <w:pPr>
        <w:pStyle w:val="BodyTextIndent3"/>
        <w:numPr>
          <w:ilvl w:val="1"/>
          <w:numId w:val="8"/>
        </w:numPr>
        <w:tabs>
          <w:tab w:val="clear" w:pos="1560"/>
        </w:tabs>
        <w:spacing w:after="0"/>
        <w:ind w:left="900"/>
        <w:rPr>
          <w:rFonts w:ascii="Georgia" w:hAnsi="Georgia"/>
          <w:sz w:val="22"/>
          <w:szCs w:val="22"/>
        </w:rPr>
      </w:pPr>
      <w:r w:rsidRPr="002436C2">
        <w:rPr>
          <w:rFonts w:ascii="Georgia" w:hAnsi="Georgia"/>
          <w:sz w:val="22"/>
          <w:szCs w:val="22"/>
        </w:rPr>
        <w:t xml:space="preserve">Depression, anxiety in the extreme—suicidal ideation, euthanasia, assisted suicide ideation, extreme withdrawal, including inadequate </w:t>
      </w:r>
      <w:r>
        <w:rPr>
          <w:rFonts w:ascii="Georgia" w:hAnsi="Georgia"/>
          <w:sz w:val="22"/>
          <w:szCs w:val="22"/>
        </w:rPr>
        <w:t xml:space="preserve">oral </w:t>
      </w:r>
      <w:r w:rsidRPr="002436C2">
        <w:rPr>
          <w:rFonts w:ascii="Georgia" w:hAnsi="Georgia"/>
          <w:sz w:val="22"/>
          <w:szCs w:val="22"/>
        </w:rPr>
        <w:t>intake</w:t>
      </w:r>
      <w:r w:rsidR="0039188A">
        <w:rPr>
          <w:rFonts w:ascii="Georgia" w:hAnsi="Georgia"/>
          <w:sz w:val="22"/>
          <w:szCs w:val="22"/>
        </w:rPr>
        <w:t>.</w:t>
      </w:r>
    </w:p>
    <w:p w14:paraId="6CFED57C" w14:textId="77777777" w:rsidR="00D23825" w:rsidRDefault="003457EF" w:rsidP="00254C74">
      <w:pPr>
        <w:pStyle w:val="BodyTextIndent"/>
        <w:numPr>
          <w:ilvl w:val="1"/>
          <w:numId w:val="8"/>
        </w:numPr>
        <w:tabs>
          <w:tab w:val="clear" w:pos="1560"/>
        </w:tabs>
        <w:ind w:left="900"/>
        <w:rPr>
          <w:rFonts w:ascii="Georgia" w:hAnsi="Georgia"/>
        </w:rPr>
      </w:pPr>
      <w:r w:rsidRPr="00D23825">
        <w:rPr>
          <w:rFonts w:ascii="Georgia" w:hAnsi="Georgia"/>
        </w:rPr>
        <w:t>Other complicated care—frequent nasotracheal suctioning or GI suctioning, frequent parenteral injections, management of draining fistulas.</w:t>
      </w:r>
    </w:p>
    <w:p w14:paraId="0750E5C5" w14:textId="77777777" w:rsidR="0039188A" w:rsidRPr="0039188A" w:rsidRDefault="003457EF" w:rsidP="001E0FB6">
      <w:pPr>
        <w:pStyle w:val="BodyTextIndent"/>
        <w:numPr>
          <w:ilvl w:val="1"/>
          <w:numId w:val="8"/>
        </w:numPr>
        <w:tabs>
          <w:tab w:val="clear" w:pos="1560"/>
        </w:tabs>
        <w:ind w:left="900"/>
        <w:rPr>
          <w:rFonts w:ascii="Georgia" w:hAnsi="Georgia"/>
        </w:rPr>
      </w:pPr>
      <w:r w:rsidRPr="00D23825">
        <w:rPr>
          <w:rFonts w:ascii="Georgia" w:hAnsi="Georgia"/>
        </w:rPr>
        <w:t>Need for continued close monitoring of unstable recurring medical conditions, e.g., hemorrhage, severe anemia, severe hypertension, unstable diabetes, recurrent severe electrolyte disturbance, recurrent seizures, rapidly reaccumulating ascites or pleural effusion requiring recurrent tapping, recurrent aspiration.</w:t>
      </w:r>
    </w:p>
    <w:p w14:paraId="458B6373" w14:textId="77777777" w:rsidR="003457EF" w:rsidRDefault="003457EF" w:rsidP="00254C74">
      <w:pPr>
        <w:pStyle w:val="BodyTextIndent"/>
        <w:numPr>
          <w:ilvl w:val="0"/>
          <w:numId w:val="8"/>
        </w:numPr>
        <w:tabs>
          <w:tab w:val="clear" w:pos="720"/>
        </w:tabs>
        <w:ind w:left="360"/>
        <w:rPr>
          <w:rFonts w:ascii="Georgia" w:hAnsi="Georgia"/>
        </w:rPr>
      </w:pPr>
      <w:r w:rsidRPr="00D23825">
        <w:rPr>
          <w:rFonts w:ascii="Georgia" w:hAnsi="Georgia"/>
        </w:rPr>
        <w:t>Decisions for continued inpatient stay will be made on an individual case-by-case basis after evaluation by members of interdisciplinary group including the Hospice Medical Director and in consultation with the patient's attending physician.</w:t>
      </w:r>
    </w:p>
    <w:p w14:paraId="0F73050D" w14:textId="481D2073" w:rsidR="0039188A" w:rsidRDefault="0039188A" w:rsidP="00344DFB">
      <w:pPr>
        <w:pStyle w:val="BodyTextIndent"/>
        <w:numPr>
          <w:ilvl w:val="0"/>
          <w:numId w:val="21"/>
        </w:numPr>
        <w:rPr>
          <w:rFonts w:ascii="Georgia" w:hAnsi="Georgia"/>
        </w:rPr>
      </w:pPr>
      <w:r w:rsidRPr="0039188A">
        <w:rPr>
          <w:rFonts w:ascii="Georgia" w:hAnsi="Georgia"/>
        </w:rPr>
        <w:t xml:space="preserve">Criteria for the patient to be considered for </w:t>
      </w:r>
      <w:r w:rsidR="00DB1653">
        <w:rPr>
          <w:rFonts w:ascii="Georgia" w:hAnsi="Georgia"/>
        </w:rPr>
        <w:t>transfer</w:t>
      </w:r>
      <w:r w:rsidRPr="0039188A">
        <w:rPr>
          <w:rFonts w:ascii="Georgia" w:hAnsi="Georgia"/>
        </w:rPr>
        <w:t xml:space="preserve"> </w:t>
      </w:r>
      <w:r w:rsidR="000C60BE">
        <w:rPr>
          <w:rFonts w:ascii="Georgia" w:hAnsi="Georgia"/>
        </w:rPr>
        <w:t xml:space="preserve">to </w:t>
      </w:r>
      <w:r w:rsidR="00CC05D4">
        <w:rPr>
          <w:rFonts w:ascii="Georgia" w:hAnsi="Georgia"/>
        </w:rPr>
        <w:t xml:space="preserve">short term inpatient </w:t>
      </w:r>
      <w:r w:rsidRPr="0039188A">
        <w:rPr>
          <w:rFonts w:ascii="Georgia" w:hAnsi="Georgia"/>
        </w:rPr>
        <w:t xml:space="preserve">respite level of care </w:t>
      </w:r>
      <w:r w:rsidR="00DB1653">
        <w:rPr>
          <w:rFonts w:ascii="Georgia" w:hAnsi="Georgia"/>
        </w:rPr>
        <w:t xml:space="preserve">are based on the </w:t>
      </w:r>
      <w:r w:rsidR="00CC05D4">
        <w:rPr>
          <w:rFonts w:ascii="Georgia" w:hAnsi="Georgia"/>
        </w:rPr>
        <w:t>need to relieve family members or other persons who normally care for the individual at home.</w:t>
      </w:r>
      <w:r w:rsidR="00344DFB">
        <w:rPr>
          <w:rFonts w:ascii="Georgia" w:hAnsi="Georgia"/>
        </w:rPr>
        <w:t xml:space="preserve"> </w:t>
      </w:r>
      <w:r w:rsidR="00CC05D4">
        <w:rPr>
          <w:rFonts w:ascii="Georgia" w:hAnsi="Georgia"/>
        </w:rPr>
        <w:t>Respite care may be provided only on an occasional basis and may not be reimbursed for more than 5 consecutive days at a time.</w:t>
      </w:r>
    </w:p>
    <w:p w14:paraId="12F4B681" w14:textId="77777777" w:rsidR="00DB1653" w:rsidRDefault="00DB1653" w:rsidP="00DB1653">
      <w:pPr>
        <w:pStyle w:val="BodyTextIndent"/>
        <w:numPr>
          <w:ilvl w:val="0"/>
          <w:numId w:val="19"/>
        </w:numPr>
        <w:rPr>
          <w:rFonts w:ascii="Georgia" w:hAnsi="Georgia"/>
        </w:rPr>
      </w:pPr>
    </w:p>
    <w:p w14:paraId="13D2B173" w14:textId="77777777" w:rsidR="00DB1653" w:rsidRPr="0039188A" w:rsidRDefault="00DB1653" w:rsidP="00344DFB">
      <w:pPr>
        <w:pStyle w:val="BodyTextIndent"/>
        <w:ind w:left="0" w:firstLine="0"/>
        <w:rPr>
          <w:rFonts w:ascii="Georgia" w:hAnsi="Georgia"/>
        </w:rPr>
      </w:pPr>
    </w:p>
    <w:p w14:paraId="4A958822" w14:textId="77777777" w:rsidR="00F53848" w:rsidRPr="0039188A" w:rsidRDefault="00F53848" w:rsidP="005F4D1B">
      <w:pPr>
        <w:pStyle w:val="Heading3"/>
        <w:rPr>
          <w:rFonts w:ascii="Avenir" w:hAnsi="Avenir"/>
          <w:b w:val="0"/>
          <w:caps w:val="0"/>
          <w:sz w:val="22"/>
        </w:rPr>
      </w:pPr>
    </w:p>
    <w:sectPr w:rsidR="00F53848" w:rsidRPr="0039188A" w:rsidSect="00254C7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D414" w14:textId="77777777" w:rsidR="005E5734" w:rsidRDefault="005E5734" w:rsidP="00004886">
      <w:pPr>
        <w:spacing w:after="0" w:line="240" w:lineRule="auto"/>
      </w:pPr>
      <w:r>
        <w:separator/>
      </w:r>
    </w:p>
  </w:endnote>
  <w:endnote w:type="continuationSeparator" w:id="0">
    <w:p w14:paraId="20525A37" w14:textId="77777777" w:rsidR="005E5734" w:rsidRDefault="005E5734"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707607870"/>
      <w:docPartObj>
        <w:docPartGallery w:val="Page Numbers (Top of Page)"/>
        <w:docPartUnique/>
      </w:docPartObj>
    </w:sdtPr>
    <w:sdtEndPr/>
    <w:sdtContent>
      <w:p w14:paraId="2A65CBE2" w14:textId="77777777" w:rsidR="00254C74" w:rsidRPr="00254C74" w:rsidRDefault="00254C74" w:rsidP="00254C74">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F3037F5" w14:textId="77777777" w:rsidR="003A605C" w:rsidRPr="00254C74" w:rsidRDefault="003A605C" w:rsidP="00254C74">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53F8" w14:textId="77777777" w:rsidR="005E5734" w:rsidRDefault="005E5734" w:rsidP="00004886">
      <w:pPr>
        <w:spacing w:after="0" w:line="240" w:lineRule="auto"/>
      </w:pPr>
      <w:r>
        <w:separator/>
      </w:r>
    </w:p>
  </w:footnote>
  <w:footnote w:type="continuationSeparator" w:id="0">
    <w:p w14:paraId="1CA0356D" w14:textId="77777777" w:rsidR="005E5734" w:rsidRDefault="005E5734"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5405"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01458CD4" wp14:editId="64385CE2">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E34FC"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458CD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" stroked="f">
              <v:textbox style="mso-fit-shape-to-text:t">
                <w:txbxContent>
                  <w:p w14:paraId="4C3E34FC"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615028F6" wp14:editId="5B404905">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0"/>
      <w:gridCol w:w="3118"/>
    </w:tblGrid>
    <w:tr w:rsidR="00254C74" w:rsidRPr="00004886" w14:paraId="368AF06D" w14:textId="77777777" w:rsidTr="00254C74">
      <w:trPr>
        <w:trHeight w:val="432"/>
      </w:trPr>
      <w:tc>
        <w:tcPr>
          <w:tcW w:w="9350" w:type="dxa"/>
          <w:gridSpan w:val="3"/>
          <w:shd w:val="clear" w:color="auto" w:fill="D9D9D9" w:themeFill="background1" w:themeFillShade="D9"/>
          <w:vAlign w:val="center"/>
        </w:tcPr>
        <w:p w14:paraId="2AB32B25" w14:textId="77777777" w:rsidR="00254C74" w:rsidRPr="0091763A" w:rsidRDefault="00254C74" w:rsidP="00254C74">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254C74" w:rsidRPr="000B2666" w14:paraId="3DF87461" w14:textId="77777777" w:rsidTr="00254C74">
      <w:trPr>
        <w:trHeight w:val="432"/>
      </w:trPr>
      <w:tc>
        <w:tcPr>
          <w:tcW w:w="9350" w:type="dxa"/>
          <w:gridSpan w:val="3"/>
          <w:vAlign w:val="center"/>
        </w:tcPr>
        <w:p w14:paraId="0B36521A" w14:textId="77777777" w:rsidR="00254C74" w:rsidRPr="000B2666" w:rsidRDefault="00254C74" w:rsidP="00254C74">
          <w:pPr>
            <w:spacing w:after="0" w:line="240" w:lineRule="auto"/>
            <w:rPr>
              <w:rFonts w:ascii="Georgia" w:eastAsiaTheme="minorHAnsi" w:hAnsi="Georgia" w:cstheme="minorBidi"/>
            </w:rPr>
          </w:pPr>
          <w:r>
            <w:rPr>
              <w:rFonts w:ascii="Georgia" w:eastAsiaTheme="minorHAnsi" w:hAnsi="Georgia" w:cstheme="minorBidi"/>
            </w:rPr>
            <w:t>General Inpatient Services</w:t>
          </w:r>
        </w:p>
      </w:tc>
    </w:tr>
    <w:tr w:rsidR="00017F74" w:rsidRPr="00004886" w14:paraId="23D3CA17" w14:textId="77777777" w:rsidTr="00254C74">
      <w:tc>
        <w:tcPr>
          <w:tcW w:w="3112" w:type="dxa"/>
          <w:shd w:val="clear" w:color="auto" w:fill="D9D9D9" w:themeFill="background1" w:themeFillShade="D9"/>
        </w:tcPr>
        <w:p w14:paraId="7F958B4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0" w:type="dxa"/>
          <w:shd w:val="clear" w:color="auto" w:fill="D9D9D9" w:themeFill="background1" w:themeFillShade="D9"/>
          <w:tcMar>
            <w:top w:w="115" w:type="dxa"/>
            <w:left w:w="115" w:type="dxa"/>
            <w:bottom w:w="115" w:type="dxa"/>
            <w:right w:w="115" w:type="dxa"/>
          </w:tcMar>
        </w:tcPr>
        <w:p w14:paraId="270CD4B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8" w:type="dxa"/>
          <w:shd w:val="clear" w:color="auto" w:fill="D9D9D9" w:themeFill="background1" w:themeFillShade="D9"/>
        </w:tcPr>
        <w:p w14:paraId="3248899B"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301DC78E" w14:textId="77777777" w:rsidTr="00254C74">
      <w:tc>
        <w:tcPr>
          <w:tcW w:w="3112" w:type="dxa"/>
        </w:tcPr>
        <w:p w14:paraId="0EFC9279" w14:textId="77777777" w:rsidR="00017F74" w:rsidRPr="00383057" w:rsidRDefault="001E0FB6"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20" w:type="dxa"/>
          <w:tcMar>
            <w:top w:w="115" w:type="dxa"/>
            <w:left w:w="115" w:type="dxa"/>
            <w:bottom w:w="115" w:type="dxa"/>
            <w:right w:w="115" w:type="dxa"/>
          </w:tcMar>
        </w:tcPr>
        <w:p w14:paraId="0A8BF5B1" w14:textId="6842BA0F" w:rsidR="00017F74" w:rsidRPr="00383057" w:rsidRDefault="00344DFB" w:rsidP="00D755F0">
          <w:pPr>
            <w:spacing w:after="0" w:line="240" w:lineRule="auto"/>
            <w:rPr>
              <w:rFonts w:ascii="Georgia" w:eastAsiaTheme="minorHAnsi" w:hAnsi="Georgia" w:cstheme="minorBidi"/>
            </w:rPr>
          </w:pPr>
          <w:r>
            <w:rPr>
              <w:rFonts w:ascii="Georgia" w:eastAsiaTheme="minorHAnsi" w:hAnsi="Georgia" w:cstheme="minorBidi"/>
            </w:rPr>
            <w:t>07/01/2024</w:t>
          </w:r>
        </w:p>
      </w:tc>
      <w:tc>
        <w:tcPr>
          <w:tcW w:w="3118" w:type="dxa"/>
        </w:tcPr>
        <w:p w14:paraId="365D3096" w14:textId="009A98D4" w:rsidR="00017F74" w:rsidRPr="00383057" w:rsidRDefault="00344DFB" w:rsidP="00D755F0">
          <w:pPr>
            <w:spacing w:after="0" w:line="240" w:lineRule="auto"/>
            <w:rPr>
              <w:rFonts w:ascii="Georgia" w:eastAsiaTheme="minorHAnsi" w:hAnsi="Georgia" w:cstheme="minorBidi"/>
            </w:rPr>
          </w:pPr>
          <w:r>
            <w:rPr>
              <w:rFonts w:ascii="Georgia" w:eastAsiaTheme="minorHAnsi" w:hAnsi="Georgia" w:cstheme="minorBidi"/>
            </w:rPr>
            <w:t>07/01/2026</w:t>
          </w:r>
        </w:p>
      </w:tc>
    </w:tr>
    <w:tr w:rsidR="00254C74" w:rsidRPr="00004886" w14:paraId="41653DE9" w14:textId="77777777" w:rsidTr="00254C74">
      <w:trPr>
        <w:trHeight w:val="432"/>
      </w:trPr>
      <w:tc>
        <w:tcPr>
          <w:tcW w:w="9350" w:type="dxa"/>
          <w:gridSpan w:val="3"/>
          <w:shd w:val="clear" w:color="auto" w:fill="D9D9D9" w:themeFill="background1" w:themeFillShade="D9"/>
          <w:vAlign w:val="center"/>
        </w:tcPr>
        <w:p w14:paraId="017D5CFE" w14:textId="77777777" w:rsidR="00254C74" w:rsidRPr="0091763A" w:rsidRDefault="00254C74" w:rsidP="00254C74">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254C74" w:rsidRPr="00004886" w14:paraId="2CC4036D" w14:textId="77777777" w:rsidTr="00254C74">
      <w:trPr>
        <w:trHeight w:val="576"/>
      </w:trPr>
      <w:tc>
        <w:tcPr>
          <w:tcW w:w="9350" w:type="dxa"/>
          <w:gridSpan w:val="3"/>
          <w:vAlign w:val="center"/>
        </w:tcPr>
        <w:p w14:paraId="6404F1FB" w14:textId="77777777" w:rsidR="00254C74" w:rsidRPr="00383057" w:rsidRDefault="00254C74" w:rsidP="00254C74">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5EFAD475" w14:textId="77777777" w:rsidTr="00254C74">
      <w:tc>
        <w:tcPr>
          <w:tcW w:w="9350" w:type="dxa"/>
          <w:gridSpan w:val="3"/>
          <w:shd w:val="clear" w:color="auto" w:fill="D9D9D9" w:themeFill="background1" w:themeFillShade="D9"/>
          <w:tcMar>
            <w:top w:w="115" w:type="dxa"/>
            <w:left w:w="115" w:type="dxa"/>
            <w:bottom w:w="115" w:type="dxa"/>
            <w:right w:w="115" w:type="dxa"/>
          </w:tcMar>
        </w:tcPr>
        <w:p w14:paraId="76C42CE2"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8B62683" w14:textId="77777777" w:rsidTr="00254C74">
      <w:tc>
        <w:tcPr>
          <w:tcW w:w="9350" w:type="dxa"/>
          <w:gridSpan w:val="3"/>
          <w:shd w:val="clear" w:color="auto" w:fill="auto"/>
          <w:tcMar>
            <w:top w:w="115" w:type="dxa"/>
            <w:left w:w="115" w:type="dxa"/>
            <w:bottom w:w="115" w:type="dxa"/>
            <w:right w:w="115" w:type="dxa"/>
          </w:tcMar>
        </w:tcPr>
        <w:p w14:paraId="57B57E2B" w14:textId="77777777" w:rsidR="00017F74" w:rsidRPr="00383057" w:rsidRDefault="00017F74" w:rsidP="00D755F0">
          <w:pPr>
            <w:spacing w:after="0" w:line="240" w:lineRule="auto"/>
            <w:rPr>
              <w:rFonts w:ascii="Georgia" w:eastAsiaTheme="minorHAnsi" w:hAnsi="Georgia" w:cstheme="minorBidi"/>
            </w:rPr>
          </w:pPr>
        </w:p>
      </w:tc>
    </w:tr>
  </w:tbl>
  <w:p w14:paraId="2EF06933"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704FAB"/>
    <w:multiLevelType w:val="hybridMultilevel"/>
    <w:tmpl w:val="4CACC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033B56"/>
    <w:multiLevelType w:val="hybridMultilevel"/>
    <w:tmpl w:val="2DEE74A4"/>
    <w:lvl w:ilvl="0" w:tplc="6298FE3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224D2050"/>
    <w:multiLevelType w:val="hybridMultilevel"/>
    <w:tmpl w:val="FB987DAE"/>
    <w:lvl w:ilvl="0" w:tplc="5AB42DE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93399D"/>
    <w:multiLevelType w:val="hybridMultilevel"/>
    <w:tmpl w:val="F21CC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C80D01"/>
    <w:multiLevelType w:val="hybridMultilevel"/>
    <w:tmpl w:val="709EE11E"/>
    <w:lvl w:ilvl="0" w:tplc="B28AD6AA">
      <w:start w:val="1"/>
      <w:numFmt w:val="decimal"/>
      <w:lvlText w:val="%1."/>
      <w:lvlJc w:val="left"/>
      <w:pPr>
        <w:tabs>
          <w:tab w:val="num" w:pos="720"/>
        </w:tabs>
        <w:ind w:left="720" w:hanging="360"/>
      </w:pPr>
    </w:lvl>
    <w:lvl w:ilvl="1" w:tplc="BE64B58A">
      <w:start w:val="1"/>
      <w:numFmt w:val="upperLetter"/>
      <w:lvlText w:val="%2."/>
      <w:lvlJc w:val="left"/>
      <w:pPr>
        <w:tabs>
          <w:tab w:val="num" w:pos="1560"/>
        </w:tabs>
        <w:ind w:left="1560" w:hanging="480"/>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0D203B"/>
    <w:multiLevelType w:val="hybridMultilevel"/>
    <w:tmpl w:val="6BA624E8"/>
    <w:lvl w:ilvl="0" w:tplc="04090015">
      <w:start w:val="1"/>
      <w:numFmt w:val="upperLetter"/>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585632">
    <w:abstractNumId w:val="1"/>
  </w:num>
  <w:num w:numId="2" w16cid:durableId="1144659566">
    <w:abstractNumId w:val="17"/>
  </w:num>
  <w:num w:numId="3" w16cid:durableId="1358311746">
    <w:abstractNumId w:val="9"/>
  </w:num>
  <w:num w:numId="4" w16cid:durableId="2045714631">
    <w:abstractNumId w:val="12"/>
  </w:num>
  <w:num w:numId="5" w16cid:durableId="857740345">
    <w:abstractNumId w:val="16"/>
  </w:num>
  <w:num w:numId="6" w16cid:durableId="80761288">
    <w:abstractNumId w:val="0"/>
  </w:num>
  <w:num w:numId="7" w16cid:durableId="577713667">
    <w:abstractNumId w:val="8"/>
  </w:num>
  <w:num w:numId="8" w16cid:durableId="878125098">
    <w:abstractNumId w:val="14"/>
  </w:num>
  <w:num w:numId="9" w16cid:durableId="1021971150">
    <w:abstractNumId w:val="5"/>
    <w:lvlOverride w:ilvl="0">
      <w:startOverride w:val="1"/>
    </w:lvlOverride>
  </w:num>
  <w:num w:numId="10" w16cid:durableId="27339845">
    <w:abstractNumId w:val="11"/>
  </w:num>
  <w:num w:numId="11" w16cid:durableId="1049888207">
    <w:abstractNumId w:val="13"/>
  </w:num>
  <w:num w:numId="12" w16cid:durableId="1593585714">
    <w:abstractNumId w:val="7"/>
  </w:num>
  <w:num w:numId="13" w16cid:durableId="354310769">
    <w:abstractNumId w:val="2"/>
  </w:num>
  <w:num w:numId="14" w16cid:durableId="595483133">
    <w:abstractNumId w:val="5"/>
  </w:num>
  <w:num w:numId="15" w16cid:durableId="1759713979">
    <w:abstractNumId w:val="4"/>
    <w:lvlOverride w:ilvl="0">
      <w:startOverride w:val="1"/>
    </w:lvlOverride>
  </w:num>
  <w:num w:numId="16" w16cid:durableId="1769158972">
    <w:abstractNumId w:val="4"/>
    <w:lvlOverride w:ilvl="0">
      <w:startOverride w:val="1"/>
    </w:lvlOverride>
  </w:num>
  <w:num w:numId="17" w16cid:durableId="561330777">
    <w:abstractNumId w:val="14"/>
  </w:num>
  <w:num w:numId="18" w16cid:durableId="2146121544">
    <w:abstractNumId w:val="3"/>
  </w:num>
  <w:num w:numId="19" w16cid:durableId="1040669619">
    <w:abstractNumId w:val="15"/>
  </w:num>
  <w:num w:numId="20" w16cid:durableId="1894729261">
    <w:abstractNumId w:val="10"/>
  </w:num>
  <w:num w:numId="21" w16cid:durableId="1748842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04AA"/>
    <w:rsid w:val="00017F74"/>
    <w:rsid w:val="00070BDF"/>
    <w:rsid w:val="00075223"/>
    <w:rsid w:val="000B2666"/>
    <w:rsid w:val="000C60BE"/>
    <w:rsid w:val="000E0733"/>
    <w:rsid w:val="000E6515"/>
    <w:rsid w:val="00196F83"/>
    <w:rsid w:val="001D12AA"/>
    <w:rsid w:val="001E0FB6"/>
    <w:rsid w:val="00214075"/>
    <w:rsid w:val="002174C0"/>
    <w:rsid w:val="00254C74"/>
    <w:rsid w:val="00282429"/>
    <w:rsid w:val="00306D41"/>
    <w:rsid w:val="00344DFB"/>
    <w:rsid w:val="003457EF"/>
    <w:rsid w:val="00366B62"/>
    <w:rsid w:val="00383057"/>
    <w:rsid w:val="0039188A"/>
    <w:rsid w:val="003A605C"/>
    <w:rsid w:val="004039FB"/>
    <w:rsid w:val="00496194"/>
    <w:rsid w:val="004B00A2"/>
    <w:rsid w:val="004D66B8"/>
    <w:rsid w:val="004F7E1E"/>
    <w:rsid w:val="00546D27"/>
    <w:rsid w:val="00551083"/>
    <w:rsid w:val="005E5734"/>
    <w:rsid w:val="005F4D1B"/>
    <w:rsid w:val="006318B2"/>
    <w:rsid w:val="00636251"/>
    <w:rsid w:val="0064513A"/>
    <w:rsid w:val="006772EC"/>
    <w:rsid w:val="00691A1E"/>
    <w:rsid w:val="006A6A5F"/>
    <w:rsid w:val="006C0ECD"/>
    <w:rsid w:val="00721119"/>
    <w:rsid w:val="00744C01"/>
    <w:rsid w:val="007D240F"/>
    <w:rsid w:val="00806F6F"/>
    <w:rsid w:val="00857EA6"/>
    <w:rsid w:val="008F49D4"/>
    <w:rsid w:val="00914055"/>
    <w:rsid w:val="0091763A"/>
    <w:rsid w:val="009342A6"/>
    <w:rsid w:val="009F3EE2"/>
    <w:rsid w:val="00A77018"/>
    <w:rsid w:val="00AA7F0B"/>
    <w:rsid w:val="00AC317F"/>
    <w:rsid w:val="00AD15D2"/>
    <w:rsid w:val="00AF7CAE"/>
    <w:rsid w:val="00B23E02"/>
    <w:rsid w:val="00B379C7"/>
    <w:rsid w:val="00BA51C0"/>
    <w:rsid w:val="00BE2960"/>
    <w:rsid w:val="00C1303A"/>
    <w:rsid w:val="00C70850"/>
    <w:rsid w:val="00CB0068"/>
    <w:rsid w:val="00CC05D4"/>
    <w:rsid w:val="00CE6DA2"/>
    <w:rsid w:val="00D23825"/>
    <w:rsid w:val="00D61D5E"/>
    <w:rsid w:val="00D656C1"/>
    <w:rsid w:val="00D927EC"/>
    <w:rsid w:val="00DB1653"/>
    <w:rsid w:val="00DD17C5"/>
    <w:rsid w:val="00DD4B6F"/>
    <w:rsid w:val="00DE38FB"/>
    <w:rsid w:val="00DF0662"/>
    <w:rsid w:val="00E547EA"/>
    <w:rsid w:val="00E810E1"/>
    <w:rsid w:val="00EF6C0A"/>
    <w:rsid w:val="00F107CD"/>
    <w:rsid w:val="00F53848"/>
    <w:rsid w:val="00F53FEA"/>
    <w:rsid w:val="00FB0989"/>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9BA1D0"/>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 w:type="paragraph" w:styleId="BodyTextIndent3">
    <w:name w:val="Body Text Indent 3"/>
    <w:basedOn w:val="Normal"/>
    <w:link w:val="BodyTextIndent3Char"/>
    <w:uiPriority w:val="99"/>
    <w:unhideWhenUsed/>
    <w:rsid w:val="003457EF"/>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uiPriority w:val="99"/>
    <w:rsid w:val="003457EF"/>
    <w:rPr>
      <w:rFonts w:ascii="Arial" w:eastAsia="Times New Roman" w:hAnsi="Arial"/>
      <w:sz w:val="16"/>
      <w:szCs w:val="16"/>
    </w:rPr>
  </w:style>
  <w:style w:type="paragraph" w:styleId="Revision">
    <w:name w:val="Revision"/>
    <w:hidden/>
    <w:uiPriority w:val="99"/>
    <w:semiHidden/>
    <w:rsid w:val="0034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EB1EB-897C-4C0A-AB11-4627A79E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2</cp:revision>
  <dcterms:created xsi:type="dcterms:W3CDTF">2024-07-02T20:35:00Z</dcterms:created>
  <dcterms:modified xsi:type="dcterms:W3CDTF">2024-07-02T20:35:00Z</dcterms:modified>
</cp:coreProperties>
</file>