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4B1BE" w14:textId="77777777" w:rsidR="00652B58" w:rsidRDefault="00652B58" w:rsidP="000757DA">
      <w:pPr>
        <w:spacing w:line="360" w:lineRule="auto"/>
        <w:ind w:left="0" w:firstLine="0"/>
        <w:rPr>
          <w:rFonts w:ascii="Avenir" w:hAnsi="Avenir" w:cs="Arial"/>
          <w:b/>
        </w:rPr>
      </w:pPr>
      <w:r w:rsidRPr="0091763A">
        <w:rPr>
          <w:rFonts w:ascii="Avenir" w:hAnsi="Avenir" w:cs="Arial"/>
          <w:b/>
        </w:rPr>
        <w:t>Purpose</w:t>
      </w:r>
      <w:r>
        <w:rPr>
          <w:rFonts w:ascii="Avenir" w:hAnsi="Avenir" w:cs="Arial"/>
          <w:b/>
        </w:rPr>
        <w:t xml:space="preserve"> </w:t>
      </w:r>
      <w:bookmarkStart w:id="1" w:name="_GoBack"/>
      <w:bookmarkEnd w:id="1"/>
    </w:p>
    <w:p w14:paraId="76E3972B" w14:textId="77777777" w:rsidR="009E625B" w:rsidRDefault="009E625B" w:rsidP="000757DA">
      <w:pPr>
        <w:ind w:left="0" w:firstLine="0"/>
        <w:rPr>
          <w:rFonts w:ascii="Georgia" w:hAnsi="Georgia" w:cs="Arial"/>
        </w:rPr>
      </w:pPr>
      <w:r w:rsidRPr="009E625B">
        <w:rPr>
          <w:rFonts w:ascii="Georgia" w:hAnsi="Georgia" w:cs="Arial"/>
        </w:rPr>
        <w:t xml:space="preserve">To define the role of volunteers during an emergency. </w:t>
      </w:r>
    </w:p>
    <w:p w14:paraId="142B41F6" w14:textId="77777777" w:rsidR="009E625B" w:rsidRPr="009E625B" w:rsidRDefault="009E625B" w:rsidP="009E625B">
      <w:pPr>
        <w:ind w:firstLine="0"/>
        <w:rPr>
          <w:rFonts w:ascii="Georgia" w:hAnsi="Georgia" w:cs="Arial"/>
        </w:rPr>
      </w:pPr>
    </w:p>
    <w:p w14:paraId="5A8E3F3A" w14:textId="77777777" w:rsidR="007D240F" w:rsidRDefault="007D240F" w:rsidP="000757DA">
      <w:pPr>
        <w:spacing w:line="360" w:lineRule="auto"/>
        <w:ind w:left="0" w:firstLine="0"/>
        <w:rPr>
          <w:rFonts w:ascii="Avenir" w:hAnsi="Avenir" w:cs="Arial"/>
          <w:b/>
        </w:rPr>
      </w:pPr>
      <w:r w:rsidRPr="0091763A">
        <w:rPr>
          <w:rFonts w:ascii="Avenir" w:hAnsi="Avenir" w:cs="Arial"/>
          <w:b/>
        </w:rPr>
        <w:t>Procedure</w:t>
      </w:r>
    </w:p>
    <w:p w14:paraId="1E1C6B24" w14:textId="77777777" w:rsidR="009E625B" w:rsidRPr="00FE7C74" w:rsidRDefault="002712F1" w:rsidP="000757DA">
      <w:pPr>
        <w:numPr>
          <w:ilvl w:val="1"/>
          <w:numId w:val="1"/>
        </w:numPr>
        <w:ind w:left="360"/>
        <w:rPr>
          <w:rFonts w:ascii="Georgia" w:hAnsi="Georgia" w:cs="Arial"/>
        </w:rPr>
      </w:pPr>
      <w:r>
        <w:rPr>
          <w:rFonts w:ascii="Georgia" w:hAnsi="Georgia" w:cs="Arial"/>
        </w:rPr>
        <w:t xml:space="preserve">Volunteers known to the organization </w:t>
      </w:r>
      <w:r w:rsidR="009E625B">
        <w:rPr>
          <w:rFonts w:ascii="Georgia" w:hAnsi="Georgia" w:cs="Arial"/>
        </w:rPr>
        <w:t>and currently working with the</w:t>
      </w:r>
      <w:r>
        <w:rPr>
          <w:rFonts w:ascii="Georgia" w:hAnsi="Georgia" w:cs="Arial"/>
        </w:rPr>
        <w:t xml:space="preserve"> Ohio Living Home Health or Hospice </w:t>
      </w:r>
      <w:r w:rsidR="009E625B">
        <w:rPr>
          <w:rFonts w:ascii="Georgia" w:hAnsi="Georgia" w:cs="Arial"/>
        </w:rPr>
        <w:t>will attend the same emergency preparedness training that the employed staff attends</w:t>
      </w:r>
      <w:r w:rsidR="00FE7C74">
        <w:rPr>
          <w:rFonts w:ascii="Georgia" w:hAnsi="Georgia" w:cs="Arial"/>
        </w:rPr>
        <w:t>, initially and annually</w:t>
      </w:r>
      <w:r w:rsidR="009E625B" w:rsidRPr="00FE7C74">
        <w:rPr>
          <w:rFonts w:ascii="Georgia" w:hAnsi="Georgia" w:cs="Arial"/>
        </w:rPr>
        <w:t xml:space="preserve">. </w:t>
      </w:r>
    </w:p>
    <w:p w14:paraId="4346FA1A" w14:textId="77777777" w:rsidR="009E625B" w:rsidRPr="00AD0608" w:rsidRDefault="009E625B" w:rsidP="000757DA">
      <w:pPr>
        <w:pStyle w:val="ListParagraph"/>
        <w:numPr>
          <w:ilvl w:val="1"/>
          <w:numId w:val="1"/>
        </w:numPr>
        <w:ind w:left="360"/>
        <w:rPr>
          <w:rFonts w:ascii="Georgia" w:hAnsi="Georgia" w:cs="Arial"/>
        </w:rPr>
      </w:pPr>
      <w:r w:rsidRPr="00AD0608">
        <w:rPr>
          <w:rFonts w:ascii="Georgia" w:hAnsi="Georgia" w:cs="Arial"/>
        </w:rPr>
        <w:t xml:space="preserve">Volunteers will be invited to attend community at-large training with the local Emergency Management Agencies as offered. </w:t>
      </w:r>
    </w:p>
    <w:p w14:paraId="14F58FDD" w14:textId="77777777" w:rsidR="009E625B" w:rsidRPr="00AD0608" w:rsidRDefault="00FE7C74" w:rsidP="000757DA">
      <w:pPr>
        <w:pStyle w:val="ListParagraph"/>
        <w:numPr>
          <w:ilvl w:val="1"/>
          <w:numId w:val="1"/>
        </w:numPr>
        <w:ind w:left="360"/>
        <w:rPr>
          <w:rFonts w:ascii="Avenir" w:hAnsi="Avenir" w:cs="Arial"/>
          <w:b/>
        </w:rPr>
      </w:pPr>
      <w:r>
        <w:rPr>
          <w:rFonts w:ascii="Georgia" w:hAnsi="Georgia" w:cs="Arial"/>
        </w:rPr>
        <w:t>A list of volunteer’s names and contact information</w:t>
      </w:r>
      <w:r w:rsidR="009E625B" w:rsidRPr="00AD0608">
        <w:rPr>
          <w:rFonts w:ascii="Georgia" w:hAnsi="Georgia" w:cs="Arial"/>
        </w:rPr>
        <w:t xml:space="preserve"> will be kept in</w:t>
      </w:r>
      <w:r w:rsidR="009E63E8">
        <w:rPr>
          <w:rFonts w:ascii="Georgia" w:hAnsi="Georgia" w:cs="Arial"/>
        </w:rPr>
        <w:t xml:space="preserve"> a conspicuous place as identified by each individual Ohio Living office location.</w:t>
      </w:r>
    </w:p>
    <w:p w14:paraId="2B9CD1A6" w14:textId="77777777" w:rsidR="00AD0608" w:rsidRPr="00FE7C74" w:rsidRDefault="00AD0608" w:rsidP="000757DA">
      <w:pPr>
        <w:pStyle w:val="ListParagraph"/>
        <w:numPr>
          <w:ilvl w:val="1"/>
          <w:numId w:val="1"/>
        </w:numPr>
        <w:ind w:left="360"/>
        <w:rPr>
          <w:rFonts w:ascii="Georgia" w:hAnsi="Georgia" w:cs="Arial"/>
        </w:rPr>
      </w:pPr>
      <w:r w:rsidRPr="00FE7C74">
        <w:rPr>
          <w:rFonts w:ascii="Georgia" w:hAnsi="Georgia" w:cs="Arial"/>
        </w:rPr>
        <w:t xml:space="preserve">Volunteers known and unknown (those that want to help in the face </w:t>
      </w:r>
      <w:r w:rsidR="002712F1">
        <w:rPr>
          <w:rFonts w:ascii="Georgia" w:hAnsi="Georgia" w:cs="Arial"/>
        </w:rPr>
        <w:t>of the disaster) to the organization</w:t>
      </w:r>
      <w:r w:rsidRPr="00FE7C74">
        <w:rPr>
          <w:rFonts w:ascii="Georgia" w:hAnsi="Georgia" w:cs="Arial"/>
        </w:rPr>
        <w:t xml:space="preserve">, will be directed to the command center for registration and assignment. </w:t>
      </w:r>
    </w:p>
    <w:p w14:paraId="3A23A845" w14:textId="203E7338" w:rsidR="00AD0608" w:rsidRDefault="00AD0608" w:rsidP="006E096E">
      <w:pPr>
        <w:pStyle w:val="ListParagraph"/>
        <w:numPr>
          <w:ilvl w:val="2"/>
          <w:numId w:val="1"/>
        </w:numPr>
        <w:ind w:left="720" w:hanging="360"/>
        <w:rPr>
          <w:rFonts w:ascii="Georgia" w:hAnsi="Georgia" w:cs="Arial"/>
        </w:rPr>
      </w:pPr>
      <w:r w:rsidRPr="00FE7C74">
        <w:rPr>
          <w:rFonts w:ascii="Georgia" w:hAnsi="Georgia" w:cs="Arial"/>
        </w:rPr>
        <w:t>The Social Worker</w:t>
      </w:r>
      <w:r w:rsidR="00210157">
        <w:rPr>
          <w:rFonts w:ascii="Georgia" w:hAnsi="Georgia" w:cs="Arial"/>
        </w:rPr>
        <w:t>,</w:t>
      </w:r>
      <w:r w:rsidRPr="00FE7C74">
        <w:rPr>
          <w:rFonts w:ascii="Georgia" w:hAnsi="Georgia" w:cs="Arial"/>
        </w:rPr>
        <w:t xml:space="preserve"> Chaplain</w:t>
      </w:r>
      <w:r w:rsidR="00210157">
        <w:rPr>
          <w:rFonts w:ascii="Georgia" w:hAnsi="Georgia" w:cs="Arial"/>
        </w:rPr>
        <w:t>, or designee</w:t>
      </w:r>
      <w:r w:rsidRPr="00FE7C74">
        <w:rPr>
          <w:rFonts w:ascii="Georgia" w:hAnsi="Georgia" w:cs="Arial"/>
        </w:rPr>
        <w:t xml:space="preserve"> will register each v</w:t>
      </w:r>
      <w:r w:rsidR="002712F1">
        <w:rPr>
          <w:rFonts w:ascii="Georgia" w:hAnsi="Georgia" w:cs="Arial"/>
        </w:rPr>
        <w:t xml:space="preserve">olunteer using the </w:t>
      </w:r>
      <w:r w:rsidR="004429B0">
        <w:rPr>
          <w:rFonts w:ascii="Georgia" w:hAnsi="Georgia" w:cs="Arial"/>
        </w:rPr>
        <w:t>Volunteer</w:t>
      </w:r>
      <w:r w:rsidR="002712F1">
        <w:rPr>
          <w:rFonts w:ascii="Georgia" w:hAnsi="Georgia" w:cs="Arial"/>
        </w:rPr>
        <w:t xml:space="preserve"> Registration Form</w:t>
      </w:r>
      <w:r w:rsidRPr="00FE7C74">
        <w:rPr>
          <w:rFonts w:ascii="Georgia" w:hAnsi="Georgia" w:cs="Arial"/>
        </w:rPr>
        <w:t xml:space="preserve">. </w:t>
      </w:r>
    </w:p>
    <w:p w14:paraId="04FB262D" w14:textId="77777777" w:rsidR="00FE7C74" w:rsidRDefault="00FE7C74" w:rsidP="006E096E">
      <w:pPr>
        <w:pStyle w:val="ListParagraph"/>
        <w:numPr>
          <w:ilvl w:val="2"/>
          <w:numId w:val="1"/>
        </w:numPr>
        <w:ind w:left="720" w:hanging="360"/>
        <w:rPr>
          <w:rFonts w:ascii="Georgia" w:hAnsi="Georgia" w:cs="Arial"/>
        </w:rPr>
      </w:pPr>
      <w:r>
        <w:rPr>
          <w:rFonts w:ascii="Georgia" w:hAnsi="Georgia" w:cs="Arial"/>
        </w:rPr>
        <w:t xml:space="preserve">Each volunteer will be assigned to a staff member. Their roles will be dependent upon their credentials. For example, if the volunteer is a licensed individual (nurse, physician, etc.), the staff member may assist the volunteer in their role. If the volunteer is a lay </w:t>
      </w:r>
      <w:r w:rsidR="00706119">
        <w:rPr>
          <w:rFonts w:ascii="Georgia" w:hAnsi="Georgia" w:cs="Arial"/>
        </w:rPr>
        <w:t>person,</w:t>
      </w:r>
      <w:r>
        <w:rPr>
          <w:rFonts w:ascii="Georgia" w:hAnsi="Georgia" w:cs="Arial"/>
        </w:rPr>
        <w:t xml:space="preserve"> the volunteer may assist the staff member with their role/assignment. </w:t>
      </w:r>
    </w:p>
    <w:p w14:paraId="31F44E49" w14:textId="77777777" w:rsidR="00FE7C74" w:rsidRPr="00FE7C74" w:rsidRDefault="00FE7C74" w:rsidP="00FE7C74">
      <w:pPr>
        <w:ind w:left="2340" w:firstLine="0"/>
        <w:rPr>
          <w:rFonts w:ascii="Georgia" w:hAnsi="Georgia" w:cs="Arial"/>
        </w:rPr>
      </w:pPr>
    </w:p>
    <w:p w14:paraId="046C1A5E" w14:textId="77777777" w:rsidR="007D240F" w:rsidRPr="00D01AA5" w:rsidRDefault="007D240F" w:rsidP="00D01AA5">
      <w:pPr>
        <w:ind w:left="0" w:firstLine="0"/>
        <w:rPr>
          <w:rFonts w:ascii="Georgia" w:hAnsi="Georgia"/>
          <w:b/>
        </w:rPr>
      </w:pPr>
    </w:p>
    <w:p w14:paraId="423C4571" w14:textId="77777777" w:rsidR="007D240F" w:rsidRPr="00636251" w:rsidRDefault="007D240F" w:rsidP="007D240F">
      <w:pPr>
        <w:rPr>
          <w:rFonts w:ascii="Avenir Medium" w:hAnsi="Avenir Medium"/>
          <w:b/>
        </w:rPr>
      </w:pPr>
    </w:p>
    <w:sectPr w:rsidR="007D240F" w:rsidRPr="00636251" w:rsidSect="006451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CE4E0" w14:textId="77777777" w:rsidR="004B155B" w:rsidRDefault="004B155B" w:rsidP="00004886">
      <w:r>
        <w:separator/>
      </w:r>
    </w:p>
  </w:endnote>
  <w:endnote w:type="continuationSeparator" w:id="0">
    <w:p w14:paraId="384CEE75" w14:textId="77777777" w:rsidR="004B155B" w:rsidRDefault="004B155B" w:rsidP="0000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Medium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4C2E8A4" w14:textId="77777777" w:rsidR="003A605C" w:rsidRPr="0091763A" w:rsidRDefault="003A605C" w:rsidP="003A605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07448A">
              <w:rPr>
                <w:rFonts w:ascii="Avenir" w:hAnsi="Avenir"/>
                <w:b/>
                <w:noProof/>
              </w:rPr>
              <w:t>1</w: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07448A">
              <w:rPr>
                <w:rFonts w:ascii="Avenir" w:hAnsi="Avenir"/>
                <w:b/>
                <w:noProof/>
              </w:rPr>
              <w:t>1</w:t>
            </w:r>
            <w:r w:rsidR="007A4200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463BBB6" w14:textId="77777777" w:rsidR="003A605C" w:rsidRDefault="003A60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0C9DC" w14:textId="77777777" w:rsidR="004B155B" w:rsidRDefault="004B155B" w:rsidP="00004886">
      <w:bookmarkStart w:id="0" w:name="_Hlk534021944"/>
      <w:bookmarkEnd w:id="0"/>
      <w:r>
        <w:separator/>
      </w:r>
    </w:p>
  </w:footnote>
  <w:footnote w:type="continuationSeparator" w:id="0">
    <w:p w14:paraId="04DC704B" w14:textId="77777777" w:rsidR="004B155B" w:rsidRDefault="004B155B" w:rsidP="0000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81415" w14:textId="5F10E121" w:rsidR="00D0506C" w:rsidRDefault="005B3A25" w:rsidP="005B3A25">
    <w:pPr>
      <w:pStyle w:val="Header"/>
      <w:ind w:left="-540" w:firstLine="0"/>
    </w:pPr>
    <w:r>
      <w:rPr>
        <w:noProof/>
      </w:rPr>
      <w:drawing>
        <wp:inline distT="0" distB="0" distL="0" distR="0" wp14:anchorId="0A5EFBE3" wp14:editId="78F1F2ED">
          <wp:extent cx="2125229" cy="548640"/>
          <wp:effectExtent l="19050" t="0" r="8371" b="0"/>
          <wp:docPr id="2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0E9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16AFCC" wp14:editId="1B6302EC">
              <wp:simplePos x="0" y="0"/>
              <wp:positionH relativeFrom="column">
                <wp:posOffset>2914651</wp:posOffset>
              </wp:positionH>
              <wp:positionV relativeFrom="paragraph">
                <wp:posOffset>85725</wp:posOffset>
              </wp:positionV>
              <wp:extent cx="3374390" cy="4000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FA917" w14:textId="77777777" w:rsidR="002712F1" w:rsidRPr="002712F1" w:rsidRDefault="002712F1" w:rsidP="002712F1">
                          <w:pPr>
                            <w:spacing w:after="200" w:line="276" w:lineRule="auto"/>
                            <w:ind w:left="0" w:firstLine="0"/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 w:rsidRPr="002712F1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 and Hospice</w:t>
                          </w:r>
                          <w:r w:rsidR="00ED0E9D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Core</w:t>
                          </w:r>
                          <w:r w:rsidRPr="002712F1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  <w:p w14:paraId="4FE6CEA4" w14:textId="77777777" w:rsidR="003A605C" w:rsidRPr="0091763A" w:rsidRDefault="003A605C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AF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29.5pt;margin-top:6.75pt;width:265.7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" stroked="f">
              <v:textbox>
                <w:txbxContent>
                  <w:p w14:paraId="6B5FA917" w14:textId="77777777" w:rsidR="002712F1" w:rsidRPr="002712F1" w:rsidRDefault="002712F1" w:rsidP="002712F1">
                    <w:pPr>
                      <w:spacing w:after="200" w:line="276" w:lineRule="auto"/>
                      <w:ind w:left="0" w:firstLine="0"/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 w:rsidRPr="002712F1">
                      <w:rPr>
                        <w:rFonts w:ascii="Avenir" w:hAnsi="Avenir"/>
                        <w:sz w:val="32"/>
                        <w:szCs w:val="32"/>
                      </w:rPr>
                      <w:t>Home Health and Hospice</w:t>
                    </w:r>
                    <w:r w:rsidR="00ED0E9D">
                      <w:rPr>
                        <w:rFonts w:ascii="Avenir" w:hAnsi="Avenir"/>
                        <w:sz w:val="32"/>
                        <w:szCs w:val="32"/>
                      </w:rPr>
                      <w:t xml:space="preserve"> Core</w:t>
                    </w:r>
                    <w:r w:rsidRPr="002712F1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  <w:p w14:paraId="4FE6CEA4" w14:textId="77777777" w:rsidR="003A605C" w:rsidRPr="0091763A" w:rsidRDefault="003A605C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A372B58" w14:textId="77777777" w:rsidR="003A605C" w:rsidRDefault="003A605C" w:rsidP="0024579D">
    <w:pPr>
      <w:pStyle w:val="Header"/>
      <w:ind w:left="0" w:firstLine="0"/>
    </w:pPr>
    <w:r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2"/>
      <w:gridCol w:w="3120"/>
      <w:gridCol w:w="3118"/>
    </w:tblGrid>
    <w:tr w:rsidR="00D0506C" w:rsidRPr="00004886" w14:paraId="21FEED4D" w14:textId="77777777" w:rsidTr="00D0506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1868DEA" w14:textId="77777777" w:rsidR="00D0506C" w:rsidRPr="0091763A" w:rsidRDefault="00D0506C" w:rsidP="00D0506C">
          <w:pPr>
            <w:ind w:left="0" w:firstLine="0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D0506C" w:rsidRPr="00004886" w14:paraId="4848D25A" w14:textId="77777777" w:rsidTr="00D0506C">
      <w:trPr>
        <w:trHeight w:val="432"/>
      </w:trPr>
      <w:tc>
        <w:tcPr>
          <w:tcW w:w="9350" w:type="dxa"/>
          <w:gridSpan w:val="3"/>
          <w:vAlign w:val="center"/>
        </w:tcPr>
        <w:p w14:paraId="4BE26BA7" w14:textId="77777777" w:rsidR="00D0506C" w:rsidRPr="00383057" w:rsidRDefault="00D0506C" w:rsidP="00D0506C">
          <w:pPr>
            <w:ind w:left="0" w:firstLine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 xml:space="preserve">Emergency Preparedness: Volunteers </w:t>
          </w:r>
        </w:p>
      </w:tc>
    </w:tr>
    <w:tr w:rsidR="00017F74" w:rsidRPr="00004886" w14:paraId="0EAFB33D" w14:textId="77777777" w:rsidTr="00D0506C">
      <w:tc>
        <w:tcPr>
          <w:tcW w:w="3112" w:type="dxa"/>
          <w:shd w:val="clear" w:color="auto" w:fill="D9D9D9" w:themeFill="background1" w:themeFillShade="D9"/>
        </w:tcPr>
        <w:p w14:paraId="2CBA9F69" w14:textId="77777777" w:rsidR="00017F74" w:rsidRPr="0091763A" w:rsidRDefault="001D14F4" w:rsidP="001D14F4">
          <w:pPr>
            <w:ind w:left="0" w:firstLine="0"/>
            <w:rPr>
              <w:rFonts w:ascii="Avenir" w:eastAsiaTheme="minorHAnsi" w:hAnsi="Avenir" w:cstheme="minorBidi"/>
              <w:b/>
            </w:rPr>
          </w:pPr>
          <w:r>
            <w:rPr>
              <w:rFonts w:ascii="Avenir" w:eastAsiaTheme="minorHAnsi" w:hAnsi="Avenir" w:cstheme="minorBidi"/>
              <w:b/>
            </w:rPr>
            <w:t>Eff</w:t>
          </w:r>
          <w:r w:rsidR="00017F74" w:rsidRPr="0091763A">
            <w:rPr>
              <w:rFonts w:ascii="Avenir" w:eastAsiaTheme="minorHAnsi" w:hAnsi="Avenir" w:cstheme="minorBidi"/>
              <w:b/>
            </w:rPr>
            <w:t>ective Date</w:t>
          </w:r>
        </w:p>
      </w:tc>
      <w:tc>
        <w:tcPr>
          <w:tcW w:w="3120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0E825B62" w14:textId="77777777" w:rsidR="00017F74" w:rsidRPr="0091763A" w:rsidRDefault="001D14F4" w:rsidP="001D14F4">
          <w:pPr>
            <w:ind w:left="360"/>
            <w:rPr>
              <w:rFonts w:ascii="Avenir" w:eastAsiaTheme="minorHAnsi" w:hAnsi="Avenir" w:cstheme="minorBidi"/>
              <w:b/>
            </w:rPr>
          </w:pPr>
          <w:r>
            <w:rPr>
              <w:rFonts w:ascii="Avenir" w:eastAsiaTheme="minorHAnsi" w:hAnsi="Avenir" w:cstheme="minorBidi"/>
              <w:b/>
            </w:rPr>
            <w:t>Re</w:t>
          </w:r>
          <w:r w:rsidR="00017F74" w:rsidRPr="0091763A">
            <w:rPr>
              <w:rFonts w:ascii="Avenir" w:eastAsiaTheme="minorHAnsi" w:hAnsi="Avenir" w:cstheme="minorBidi"/>
              <w:b/>
            </w:rPr>
            <w:t>vised Date</w:t>
          </w:r>
        </w:p>
      </w:tc>
      <w:tc>
        <w:tcPr>
          <w:tcW w:w="3118" w:type="dxa"/>
          <w:shd w:val="clear" w:color="auto" w:fill="D9D9D9" w:themeFill="background1" w:themeFillShade="D9"/>
        </w:tcPr>
        <w:p w14:paraId="39F88915" w14:textId="77777777" w:rsidR="00017F74" w:rsidRPr="0091763A" w:rsidRDefault="00017F74" w:rsidP="001D14F4">
          <w:pPr>
            <w:ind w:left="0" w:firstLine="0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6C5E7DF2" w14:textId="77777777" w:rsidTr="00D0506C">
      <w:tc>
        <w:tcPr>
          <w:tcW w:w="3112" w:type="dxa"/>
          <w:vAlign w:val="bottom"/>
        </w:tcPr>
        <w:p w14:paraId="057BDF04" w14:textId="5D769DA2" w:rsidR="00017F74" w:rsidRPr="00383057" w:rsidRDefault="0007448A" w:rsidP="001D14F4">
          <w:pPr>
            <w:ind w:left="0" w:firstLine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11/</w:t>
          </w:r>
          <w:r w:rsidR="005B3A25">
            <w:rPr>
              <w:rFonts w:ascii="Georgia" w:eastAsiaTheme="minorHAnsi" w:hAnsi="Georgia" w:cstheme="minorBidi"/>
            </w:rPr>
            <w:t>01/2017</w:t>
          </w:r>
        </w:p>
      </w:tc>
      <w:tc>
        <w:tcPr>
          <w:tcW w:w="3120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7C27443D" w14:textId="28E09699" w:rsidR="00017F74" w:rsidRPr="00383057" w:rsidRDefault="005B3A25" w:rsidP="001D14F4">
          <w:pPr>
            <w:ind w:left="0" w:firstLine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12/15/2023</w:t>
          </w:r>
        </w:p>
      </w:tc>
      <w:tc>
        <w:tcPr>
          <w:tcW w:w="3118" w:type="dxa"/>
        </w:tcPr>
        <w:p w14:paraId="0971C350" w14:textId="48031B3C" w:rsidR="00017F74" w:rsidRPr="00383057" w:rsidRDefault="005B3A25" w:rsidP="001D14F4">
          <w:pPr>
            <w:ind w:left="0" w:firstLine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12/15/2025</w:t>
          </w:r>
        </w:p>
      </w:tc>
    </w:tr>
    <w:tr w:rsidR="00D0506C" w:rsidRPr="00004886" w14:paraId="64DEE85E" w14:textId="77777777" w:rsidTr="00D0506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0129B5D" w14:textId="77777777" w:rsidR="00D0506C" w:rsidRPr="0091763A" w:rsidRDefault="00D0506C" w:rsidP="00D0506C">
          <w:pPr>
            <w:ind w:left="0" w:firstLine="0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D0506C" w:rsidRPr="00004886" w14:paraId="546AAE8C" w14:textId="77777777" w:rsidTr="00D0506C">
      <w:trPr>
        <w:trHeight w:val="576"/>
      </w:trPr>
      <w:tc>
        <w:tcPr>
          <w:tcW w:w="9350" w:type="dxa"/>
          <w:gridSpan w:val="3"/>
          <w:vAlign w:val="center"/>
        </w:tcPr>
        <w:p w14:paraId="56855715" w14:textId="77777777" w:rsidR="00D0506C" w:rsidRPr="00383057" w:rsidRDefault="00D0506C" w:rsidP="00D0506C">
          <w:pPr>
            <w:ind w:left="0" w:firstLine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14:paraId="5AD147CA" w14:textId="77777777" w:rsidTr="00D0506C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BB71C9C" w14:textId="77777777" w:rsidR="00017F74" w:rsidRPr="0091763A" w:rsidRDefault="00017F74" w:rsidP="00D0506C">
          <w:pPr>
            <w:ind w:left="0" w:firstLine="0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 xml:space="preserve">Other Resources </w:t>
          </w:r>
        </w:p>
      </w:tc>
    </w:tr>
    <w:tr w:rsidR="00017F74" w:rsidRPr="00004886" w14:paraId="2AE4298F" w14:textId="77777777" w:rsidTr="00D0506C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29BBF649" w14:textId="77777777" w:rsidR="00017F74" w:rsidRPr="00383057" w:rsidRDefault="00F74655" w:rsidP="00D0506C">
          <w:pPr>
            <w:ind w:left="0" w:firstLine="0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Use this policy with</w:t>
          </w:r>
          <w:r w:rsidR="0084412E">
            <w:rPr>
              <w:rFonts w:ascii="Georgia" w:eastAsiaTheme="minorHAnsi" w:hAnsi="Georgia" w:cstheme="minorBidi"/>
            </w:rPr>
            <w:t xml:space="preserve"> documen</w:t>
          </w:r>
          <w:r w:rsidR="002712F1">
            <w:rPr>
              <w:rFonts w:ascii="Georgia" w:eastAsiaTheme="minorHAnsi" w:hAnsi="Georgia" w:cstheme="minorBidi"/>
            </w:rPr>
            <w:t>t</w:t>
          </w:r>
          <w:r w:rsidR="001D14F4">
            <w:rPr>
              <w:rFonts w:ascii="Georgia" w:eastAsiaTheme="minorHAnsi" w:hAnsi="Georgia" w:cstheme="minorBidi"/>
            </w:rPr>
            <w:t>s</w:t>
          </w:r>
          <w:r w:rsidR="002712F1">
            <w:rPr>
              <w:rFonts w:ascii="Georgia" w:eastAsiaTheme="minorHAnsi" w:hAnsi="Georgia" w:cstheme="minorBidi"/>
            </w:rPr>
            <w:t xml:space="preserve"> found in </w:t>
          </w:r>
          <w:r w:rsidR="001D14F4">
            <w:rPr>
              <w:rFonts w:ascii="Georgia" w:eastAsiaTheme="minorHAnsi" w:hAnsi="Georgia" w:cstheme="minorBidi"/>
            </w:rPr>
            <w:t>Clinical</w:t>
          </w:r>
          <w:r w:rsidR="002712F1">
            <w:rPr>
              <w:rFonts w:ascii="Georgia" w:eastAsiaTheme="minorHAnsi" w:hAnsi="Georgia" w:cstheme="minorBidi"/>
            </w:rPr>
            <w:t xml:space="preserve"> Forms</w:t>
          </w:r>
          <w:r>
            <w:rPr>
              <w:rFonts w:ascii="Georgia" w:eastAsiaTheme="minorHAnsi" w:hAnsi="Georgia" w:cstheme="minorBidi"/>
            </w:rPr>
            <w:t>-Home Health and Hospice</w:t>
          </w:r>
          <w:r w:rsidR="002712F1">
            <w:rPr>
              <w:rFonts w:ascii="Georgia" w:eastAsiaTheme="minorHAnsi" w:hAnsi="Georgia" w:cstheme="minorBidi"/>
            </w:rPr>
            <w:t xml:space="preserve">: </w:t>
          </w:r>
          <w:r>
            <w:rPr>
              <w:rFonts w:ascii="Georgia" w:eastAsiaTheme="minorHAnsi" w:hAnsi="Georgia" w:cstheme="minorBidi"/>
            </w:rPr>
            <w:t>“Emergency Preparedness-</w:t>
          </w:r>
          <w:r w:rsidR="0084412E">
            <w:rPr>
              <w:rFonts w:ascii="Georgia" w:eastAsiaTheme="minorHAnsi" w:hAnsi="Georgia" w:cstheme="minorBidi"/>
            </w:rPr>
            <w:t xml:space="preserve">Volunteer </w:t>
          </w:r>
          <w:r w:rsidR="002712F1">
            <w:rPr>
              <w:rFonts w:ascii="Georgia" w:eastAsiaTheme="minorHAnsi" w:hAnsi="Georgia" w:cstheme="minorBidi"/>
            </w:rPr>
            <w:t>Registration</w:t>
          </w:r>
          <w:r>
            <w:rPr>
              <w:rFonts w:ascii="Georgia" w:eastAsiaTheme="minorHAnsi" w:hAnsi="Georgia" w:cstheme="minorBidi"/>
            </w:rPr>
            <w:t xml:space="preserve"> Form”</w:t>
          </w:r>
        </w:p>
      </w:tc>
    </w:tr>
  </w:tbl>
  <w:p w14:paraId="0E1B2107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DE04E7B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815E81A4">
      <w:start w:val="1"/>
      <w:numFmt w:val="decimal"/>
      <w:lvlText w:val="%2."/>
      <w:lvlJc w:val="left"/>
      <w:pPr>
        <w:ind w:left="1800" w:hanging="360"/>
      </w:pPr>
      <w:rPr>
        <w:rFonts w:ascii="Georgia" w:eastAsia="Georgia" w:hAnsi="Georgia" w:hint="default"/>
        <w:b w:val="0"/>
        <w:spacing w:val="1"/>
        <w:sz w:val="22"/>
        <w:szCs w:val="22"/>
      </w:rPr>
    </w:lvl>
    <w:lvl w:ilvl="2" w:tplc="04090015">
      <w:start w:val="1"/>
      <w:numFmt w:val="upperLetter"/>
      <w:lvlText w:val="%3."/>
      <w:lvlJc w:val="left"/>
      <w:pPr>
        <w:ind w:left="252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451522D"/>
    <w:multiLevelType w:val="hybridMultilevel"/>
    <w:tmpl w:val="B9022EC8"/>
    <w:lvl w:ilvl="0" w:tplc="C986A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-720" w:hanging="360"/>
      </w:pPr>
    </w:lvl>
    <w:lvl w:ilvl="2" w:tplc="0409001B">
      <w:start w:val="1"/>
      <w:numFmt w:val="lowerRoman"/>
      <w:lvlText w:val="%3."/>
      <w:lvlJc w:val="right"/>
      <w:pPr>
        <w:ind w:left="0" w:hanging="180"/>
      </w:pPr>
    </w:lvl>
    <w:lvl w:ilvl="3" w:tplc="0409000F">
      <w:start w:val="1"/>
      <w:numFmt w:val="decimal"/>
      <w:lvlText w:val="%4."/>
      <w:lvlJc w:val="left"/>
      <w:pPr>
        <w:ind w:left="720" w:hanging="360"/>
      </w:pPr>
    </w:lvl>
    <w:lvl w:ilvl="4" w:tplc="04090019">
      <w:start w:val="1"/>
      <w:numFmt w:val="lowerLetter"/>
      <w:lvlText w:val="%5."/>
      <w:lvlJc w:val="left"/>
      <w:pPr>
        <w:ind w:left="1440" w:hanging="360"/>
      </w:pPr>
    </w:lvl>
    <w:lvl w:ilvl="5" w:tplc="0409001B">
      <w:start w:val="1"/>
      <w:numFmt w:val="lowerRoman"/>
      <w:lvlText w:val="%6."/>
      <w:lvlJc w:val="right"/>
      <w:pPr>
        <w:ind w:left="2160" w:hanging="180"/>
      </w:pPr>
    </w:lvl>
    <w:lvl w:ilvl="6" w:tplc="0409000F">
      <w:start w:val="1"/>
      <w:numFmt w:val="decimal"/>
      <w:lvlText w:val="%7."/>
      <w:lvlJc w:val="left"/>
      <w:pPr>
        <w:ind w:left="2880" w:hanging="360"/>
      </w:pPr>
    </w:lvl>
    <w:lvl w:ilvl="7" w:tplc="04090019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7448A"/>
    <w:rsid w:val="000757DA"/>
    <w:rsid w:val="00096280"/>
    <w:rsid w:val="001D14F4"/>
    <w:rsid w:val="00210157"/>
    <w:rsid w:val="002174C0"/>
    <w:rsid w:val="0024579D"/>
    <w:rsid w:val="002712F1"/>
    <w:rsid w:val="00366B62"/>
    <w:rsid w:val="00383057"/>
    <w:rsid w:val="003A605C"/>
    <w:rsid w:val="004429B0"/>
    <w:rsid w:val="00496194"/>
    <w:rsid w:val="004B155B"/>
    <w:rsid w:val="004F7E1E"/>
    <w:rsid w:val="00526296"/>
    <w:rsid w:val="00597493"/>
    <w:rsid w:val="005B3A25"/>
    <w:rsid w:val="006318B2"/>
    <w:rsid w:val="00636251"/>
    <w:rsid w:val="00641263"/>
    <w:rsid w:val="0064513A"/>
    <w:rsid w:val="00652B58"/>
    <w:rsid w:val="006772EC"/>
    <w:rsid w:val="006D1169"/>
    <w:rsid w:val="006E096E"/>
    <w:rsid w:val="00706119"/>
    <w:rsid w:val="00721119"/>
    <w:rsid w:val="0072406C"/>
    <w:rsid w:val="00752351"/>
    <w:rsid w:val="007633D9"/>
    <w:rsid w:val="007A4200"/>
    <w:rsid w:val="007D240F"/>
    <w:rsid w:val="00806F6F"/>
    <w:rsid w:val="00823DDC"/>
    <w:rsid w:val="00843AF4"/>
    <w:rsid w:val="0084412E"/>
    <w:rsid w:val="00857EA6"/>
    <w:rsid w:val="008B5E89"/>
    <w:rsid w:val="008F49D4"/>
    <w:rsid w:val="00914055"/>
    <w:rsid w:val="0091763A"/>
    <w:rsid w:val="009342A6"/>
    <w:rsid w:val="009E625B"/>
    <w:rsid w:val="009E63E8"/>
    <w:rsid w:val="00AD0608"/>
    <w:rsid w:val="00B5065F"/>
    <w:rsid w:val="00BA51C0"/>
    <w:rsid w:val="00BE15B1"/>
    <w:rsid w:val="00C70850"/>
    <w:rsid w:val="00D01AA5"/>
    <w:rsid w:val="00D0506C"/>
    <w:rsid w:val="00DD17C5"/>
    <w:rsid w:val="00E44F3F"/>
    <w:rsid w:val="00E547EA"/>
    <w:rsid w:val="00E810E1"/>
    <w:rsid w:val="00ED0E9D"/>
    <w:rsid w:val="00F107CD"/>
    <w:rsid w:val="00F27422"/>
    <w:rsid w:val="00F53FEA"/>
    <w:rsid w:val="00F74655"/>
    <w:rsid w:val="00FE7C74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920B688"/>
  <w15:docId w15:val="{A56A045C-0F0C-4E6D-A579-B121873E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ind w:left="180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2023-12-19T17:18:00Z</dcterms:created>
  <dcterms:modified xsi:type="dcterms:W3CDTF">2023-12-19T17:19:00Z</dcterms:modified>
</cp:coreProperties>
</file>