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0220" w14:textId="77777777" w:rsidR="00D67FA5" w:rsidRPr="00D67FA5" w:rsidRDefault="007D240F" w:rsidP="00D67FA5">
      <w:pPr>
        <w:ind w:left="180"/>
        <w:rPr>
          <w:rFonts w:ascii="Avenir" w:hAnsi="Avenir" w:cs="Arial"/>
          <w:b/>
          <w:sz w:val="24"/>
        </w:rPr>
      </w:pPr>
      <w:r w:rsidRPr="00D67FA5">
        <w:rPr>
          <w:rFonts w:ascii="Avenir" w:hAnsi="Avenir" w:cs="Arial"/>
          <w:b/>
          <w:sz w:val="24"/>
        </w:rPr>
        <w:t>P</w:t>
      </w:r>
      <w:r w:rsidR="00D67FA5">
        <w:rPr>
          <w:rFonts w:ascii="Avenir" w:hAnsi="Avenir" w:cs="Arial"/>
          <w:b/>
          <w:sz w:val="24"/>
        </w:rPr>
        <w:t>olicy</w:t>
      </w:r>
    </w:p>
    <w:p w14:paraId="2FC04E62" w14:textId="77777777" w:rsidR="00366B62" w:rsidRPr="00D67FA5" w:rsidRDefault="000F5AA6" w:rsidP="00D67FA5">
      <w:pPr>
        <w:ind w:left="180"/>
        <w:rPr>
          <w:rFonts w:ascii="Avenir" w:hAnsi="Avenir" w:cs="Arial"/>
          <w:b/>
        </w:rPr>
      </w:pPr>
      <w:r w:rsidRPr="00D67FA5">
        <w:rPr>
          <w:rFonts w:ascii="Georgia" w:hAnsi="Georgia" w:cs="Arial"/>
        </w:rPr>
        <w:t xml:space="preserve">To </w:t>
      </w:r>
      <w:r w:rsidR="00E22AA6" w:rsidRPr="00D67FA5">
        <w:rPr>
          <w:rFonts w:ascii="Georgia" w:hAnsi="Georgia" w:cs="Arial"/>
        </w:rPr>
        <w:t>provide consistent documentation in the electronic medical record.</w:t>
      </w:r>
    </w:p>
    <w:p w14:paraId="7F8BC763" w14:textId="77777777" w:rsidR="00C70850" w:rsidRPr="00D67FA5" w:rsidRDefault="00E22AA6" w:rsidP="00D67FA5">
      <w:pPr>
        <w:ind w:left="180"/>
        <w:rPr>
          <w:rFonts w:ascii="Avenir" w:hAnsi="Avenir" w:cs="Arial"/>
          <w:b/>
          <w:sz w:val="24"/>
        </w:rPr>
      </w:pPr>
      <w:r w:rsidRPr="00D67FA5">
        <w:rPr>
          <w:rFonts w:ascii="Avenir" w:hAnsi="Avenir" w:cs="Arial"/>
          <w:b/>
          <w:sz w:val="24"/>
        </w:rPr>
        <w:t>Procedure</w:t>
      </w:r>
    </w:p>
    <w:p w14:paraId="306D0D3D" w14:textId="77777777" w:rsidR="00E22AA6" w:rsidRPr="00E22AA6" w:rsidRDefault="00E22AA6" w:rsidP="003B1466">
      <w:pPr>
        <w:numPr>
          <w:ilvl w:val="0"/>
          <w:numId w:val="18"/>
        </w:numPr>
        <w:spacing w:after="0" w:line="240" w:lineRule="auto"/>
        <w:ind w:left="720"/>
        <w:rPr>
          <w:rFonts w:ascii="Georgia" w:hAnsi="Georgia" w:cs="Arial"/>
        </w:rPr>
      </w:pPr>
      <w:r w:rsidRPr="00E22AA6">
        <w:rPr>
          <w:rFonts w:ascii="Georgia" w:hAnsi="Georgia" w:cs="Arial"/>
        </w:rPr>
        <w:t>Progress notes</w:t>
      </w:r>
      <w:r w:rsidR="00D67FA5">
        <w:rPr>
          <w:rFonts w:ascii="Georgia" w:hAnsi="Georgia" w:cs="Arial"/>
        </w:rPr>
        <w:t xml:space="preserve"> related to the observation/assessment should</w:t>
      </w:r>
      <w:r w:rsidRPr="00E22AA6">
        <w:rPr>
          <w:rFonts w:ascii="Georgia" w:hAnsi="Georgia" w:cs="Arial"/>
        </w:rPr>
        <w:t xml:space="preserve"> be attached to </w:t>
      </w:r>
      <w:r w:rsidR="00D67FA5">
        <w:rPr>
          <w:rFonts w:ascii="Georgia" w:hAnsi="Georgia" w:cs="Arial"/>
        </w:rPr>
        <w:t>the</w:t>
      </w:r>
      <w:r w:rsidRPr="00E22AA6">
        <w:rPr>
          <w:rFonts w:ascii="Georgia" w:hAnsi="Georgia" w:cs="Arial"/>
        </w:rPr>
        <w:t xml:space="preserve"> observations.</w:t>
      </w:r>
    </w:p>
    <w:p w14:paraId="62A1A2C4" w14:textId="77777777" w:rsidR="00E22AA6" w:rsidRPr="00E22AA6" w:rsidRDefault="00E22AA6" w:rsidP="003B1466">
      <w:pPr>
        <w:numPr>
          <w:ilvl w:val="0"/>
          <w:numId w:val="18"/>
        </w:numPr>
        <w:spacing w:after="0" w:line="240" w:lineRule="auto"/>
        <w:ind w:left="720"/>
        <w:rPr>
          <w:rFonts w:ascii="Georgia" w:hAnsi="Georgia" w:cs="Arial"/>
        </w:rPr>
      </w:pPr>
      <w:r w:rsidRPr="00E22AA6">
        <w:rPr>
          <w:rFonts w:ascii="Georgia" w:hAnsi="Georgia" w:cs="Arial"/>
        </w:rPr>
        <w:t xml:space="preserve">If a section of an observation is not applicable, document an explanation that it does not apply in the “Describe, if necessary” box. </w:t>
      </w:r>
    </w:p>
    <w:p w14:paraId="6DEE2F96" w14:textId="77777777" w:rsidR="00E22AA6" w:rsidRPr="00105956" w:rsidRDefault="00E22AA6" w:rsidP="003B1466">
      <w:pPr>
        <w:numPr>
          <w:ilvl w:val="0"/>
          <w:numId w:val="18"/>
        </w:numPr>
        <w:spacing w:after="0" w:line="240" w:lineRule="auto"/>
        <w:ind w:left="720"/>
        <w:rPr>
          <w:rFonts w:ascii="Georgia" w:hAnsi="Georgia" w:cs="Arial"/>
          <w:u w:val="single"/>
        </w:rPr>
      </w:pPr>
      <w:r w:rsidRPr="00105956">
        <w:rPr>
          <w:rFonts w:ascii="Georgia" w:hAnsi="Georgia" w:cs="Arial"/>
        </w:rPr>
        <w:t>Complete observations section by section</w:t>
      </w:r>
      <w:r w:rsidR="00105956">
        <w:rPr>
          <w:rFonts w:ascii="Georgia" w:hAnsi="Georgia" w:cs="Arial"/>
        </w:rPr>
        <w:t>.</w:t>
      </w:r>
    </w:p>
    <w:p w14:paraId="65A48D65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</w:rPr>
      </w:pPr>
      <w:r w:rsidRPr="00E22AA6">
        <w:rPr>
          <w:rFonts w:ascii="Georgia" w:hAnsi="Georgia" w:cs="Arial"/>
          <w:u w:val="single"/>
        </w:rPr>
        <w:t>Activity Assessment:</w:t>
      </w:r>
      <w:r w:rsidRPr="00E22AA6">
        <w:rPr>
          <w:rFonts w:ascii="Georgia" w:hAnsi="Georgia" w:cs="Arial"/>
        </w:rPr>
        <w:t xml:space="preserve"> To be completed by activity personnel (or designee) at least upon admission and annually for residents with an anticipated stay of greater than </w:t>
      </w:r>
      <w:r w:rsidR="00105956">
        <w:rPr>
          <w:rFonts w:ascii="Georgia" w:hAnsi="Georgia" w:cs="Arial"/>
        </w:rPr>
        <w:t>3</w:t>
      </w:r>
      <w:r w:rsidRPr="00E22AA6">
        <w:rPr>
          <w:rFonts w:ascii="Georgia" w:hAnsi="Georgia" w:cs="Arial"/>
        </w:rPr>
        <w:t>0 days.</w:t>
      </w:r>
    </w:p>
    <w:p w14:paraId="74D137ED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</w:rPr>
      </w:pPr>
      <w:r w:rsidRPr="00E22AA6">
        <w:rPr>
          <w:rFonts w:ascii="Georgia" w:hAnsi="Georgia" w:cs="Arial"/>
          <w:u w:val="single"/>
        </w:rPr>
        <w:t>Short-Term Stay Activity Assessment:</w:t>
      </w:r>
      <w:r w:rsidRPr="00E22AA6">
        <w:rPr>
          <w:rFonts w:ascii="Georgia" w:hAnsi="Georgia" w:cs="Arial"/>
        </w:rPr>
        <w:t xml:space="preserve"> To be completed by activity personnel (or designee) upon admission for residents with an anticipated stay of less than </w:t>
      </w:r>
      <w:r w:rsidR="00105956">
        <w:rPr>
          <w:rFonts w:ascii="Georgia" w:hAnsi="Georgia" w:cs="Arial"/>
        </w:rPr>
        <w:t>3</w:t>
      </w:r>
      <w:r w:rsidRPr="00E22AA6">
        <w:rPr>
          <w:rFonts w:ascii="Georgia" w:hAnsi="Georgia" w:cs="Arial"/>
        </w:rPr>
        <w:t>0 days.</w:t>
      </w:r>
    </w:p>
    <w:p w14:paraId="195B6FF1" w14:textId="77777777" w:rsidR="00E22AA6" w:rsidRPr="00D67FA5" w:rsidRDefault="0010595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Admission Assessment</w:t>
      </w:r>
      <w:r w:rsidR="00E22AA6" w:rsidRPr="00E22AA6">
        <w:rPr>
          <w:rFonts w:ascii="Georgia" w:hAnsi="Georgia" w:cs="Arial"/>
          <w:u w:val="single"/>
        </w:rPr>
        <w:t>:</w:t>
      </w:r>
      <w:r w:rsidR="00E22AA6" w:rsidRPr="00E22AA6">
        <w:rPr>
          <w:rFonts w:ascii="Georgia" w:hAnsi="Georgia" w:cs="Arial"/>
        </w:rPr>
        <w:t xml:space="preserve"> To be completed by the admitting nurse (or designee) upon admission</w:t>
      </w:r>
      <w:r>
        <w:rPr>
          <w:rFonts w:ascii="Georgia" w:hAnsi="Georgia" w:cs="Arial"/>
        </w:rPr>
        <w:t>.</w:t>
      </w:r>
    </w:p>
    <w:p w14:paraId="63E2394E" w14:textId="77777777" w:rsidR="00D67FA5" w:rsidRPr="00E22AA6" w:rsidRDefault="00D67FA5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Admission Care Plan:</w:t>
      </w:r>
      <w:r>
        <w:rPr>
          <w:rFonts w:ascii="Georgia" w:hAnsi="Georgia" w:cs="Arial"/>
        </w:rPr>
        <w:t xml:space="preserve"> This is the baseline care plan. It must be completed within 48 hours. See “Care Planning” policy. </w:t>
      </w:r>
    </w:p>
    <w:p w14:paraId="78BD4D7C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Weekly Skin Assessment</w:t>
      </w:r>
      <w:r w:rsidRPr="00E22AA6">
        <w:rPr>
          <w:rFonts w:ascii="Georgia" w:hAnsi="Georgia" w:cs="Arial"/>
        </w:rPr>
        <w:t xml:space="preserve">: May be done by a licensed nurse (if the facility has or utilizes a wound nurse) upon admission and with every MDS when the resident has a skin condition. For daily documentation of skin integrity conditions, licensed nurses will rely on the SKIN INTEGRITY EVENTS.  </w:t>
      </w:r>
    </w:p>
    <w:p w14:paraId="11527A52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</w:rPr>
      </w:pPr>
      <w:r w:rsidRPr="00E22AA6">
        <w:rPr>
          <w:rFonts w:ascii="Georgia" w:hAnsi="Georgia" w:cs="Arial"/>
          <w:u w:val="single"/>
        </w:rPr>
        <w:t>Daily Skilled Documentation</w:t>
      </w:r>
      <w:r w:rsidR="00105956">
        <w:rPr>
          <w:rFonts w:ascii="Georgia" w:hAnsi="Georgia" w:cs="Arial"/>
          <w:u w:val="single"/>
        </w:rPr>
        <w:t>, Care Path or Focused Observation</w:t>
      </w:r>
      <w:r w:rsidRPr="00E22AA6">
        <w:rPr>
          <w:rFonts w:ascii="Georgia" w:hAnsi="Georgia" w:cs="Arial"/>
        </w:rPr>
        <w:t xml:space="preserve">: To be completed by a licensed nurse </w:t>
      </w:r>
      <w:r w:rsidR="007B54ED">
        <w:rPr>
          <w:rFonts w:ascii="Georgia" w:hAnsi="Georgia" w:cs="Arial"/>
        </w:rPr>
        <w:t>every shift with exception of eight-hour night shifts</w:t>
      </w:r>
      <w:r w:rsidRPr="00E22AA6">
        <w:rPr>
          <w:rFonts w:ascii="Georgia" w:hAnsi="Georgia" w:cs="Arial"/>
        </w:rPr>
        <w:t xml:space="preserve"> on skilled residents.</w:t>
      </w:r>
    </w:p>
    <w:p w14:paraId="242B6166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Bowel and Bladder:</w:t>
      </w:r>
      <w:r w:rsidRPr="00E22AA6">
        <w:rPr>
          <w:rFonts w:ascii="Georgia" w:hAnsi="Georgia" w:cs="Arial"/>
        </w:rPr>
        <w:t xml:space="preserve"> To be completed by a licensed nurse upon admission, quarterly and annually.</w:t>
      </w:r>
    </w:p>
    <w:p w14:paraId="2F445614" w14:textId="77777777" w:rsidR="00E22AA6" w:rsidRPr="00E22AA6" w:rsidRDefault="001B6F58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</w:rPr>
      </w:pPr>
      <w:r>
        <w:rPr>
          <w:rFonts w:ascii="Georgia" w:hAnsi="Georgia" w:cs="Arial"/>
          <w:u w:val="single"/>
        </w:rPr>
        <w:t>Toileting</w:t>
      </w:r>
      <w:r w:rsidR="00E22AA6" w:rsidRPr="00E22AA6">
        <w:rPr>
          <w:rFonts w:ascii="Georgia" w:hAnsi="Georgia" w:cs="Arial"/>
          <w:u w:val="single"/>
        </w:rPr>
        <w:t xml:space="preserve"> Assessmen</w:t>
      </w:r>
      <w:r w:rsidR="00E22AA6" w:rsidRPr="00E22AA6">
        <w:rPr>
          <w:rFonts w:ascii="Georgia" w:hAnsi="Georgia" w:cs="Arial"/>
        </w:rPr>
        <w:t>t: To be completed by the appointed nursing staff when it has been determined the resident is a possible/probable candidate for a TIAN program.</w:t>
      </w:r>
    </w:p>
    <w:p w14:paraId="6BA716CD" w14:textId="77777777" w:rsidR="00E22AA6" w:rsidRPr="00E22AA6" w:rsidRDefault="0010595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 xml:space="preserve">Johns Hopkins </w:t>
      </w:r>
      <w:r w:rsidR="00E22AA6" w:rsidRPr="00E22AA6">
        <w:rPr>
          <w:rFonts w:ascii="Georgia" w:hAnsi="Georgia" w:cs="Arial"/>
          <w:u w:val="single"/>
        </w:rPr>
        <w:t>Fall Risk Assessment</w:t>
      </w:r>
      <w:r w:rsidR="00E22AA6" w:rsidRPr="00E22AA6">
        <w:rPr>
          <w:rFonts w:ascii="Georgia" w:hAnsi="Georgia" w:cs="Arial"/>
        </w:rPr>
        <w:t>: To be completed by a licensed nurse upon admission, quarterly and annually.</w:t>
      </w:r>
      <w:bookmarkStart w:id="0" w:name="_GoBack"/>
      <w:bookmarkEnd w:id="0"/>
    </w:p>
    <w:p w14:paraId="0422B900" w14:textId="77777777" w:rsidR="00E22AA6" w:rsidRPr="00250780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lastRenderedPageBreak/>
        <w:t xml:space="preserve">Comprehensive Nutritional Assessment: </w:t>
      </w:r>
      <w:r w:rsidRPr="00E22AA6">
        <w:rPr>
          <w:rFonts w:ascii="Georgia" w:hAnsi="Georgia" w:cs="Arial"/>
        </w:rPr>
        <w:t xml:space="preserve"> To be completed by the dietary technician or dietician upon admission, quarterly, annually.</w:t>
      </w:r>
    </w:p>
    <w:p w14:paraId="431FF8A9" w14:textId="77777777" w:rsidR="00250780" w:rsidRPr="00250780" w:rsidRDefault="00250780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Nutritional Risk (NAR):</w:t>
      </w:r>
      <w:r w:rsidRPr="00250780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See “Residents at Nutritional Risk” policy.</w:t>
      </w:r>
    </w:p>
    <w:p w14:paraId="3C93460F" w14:textId="77777777" w:rsidR="00250780" w:rsidRPr="00E22AA6" w:rsidRDefault="00250780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Neurological Checks:</w:t>
      </w:r>
      <w:r>
        <w:rPr>
          <w:rFonts w:ascii="Georgia" w:hAnsi="Georgia" w:cs="Arial"/>
        </w:rPr>
        <w:t xml:space="preserve"> Complete when someone has hit their head or has had an unwitnessed fall. </w:t>
      </w:r>
      <w:r w:rsidRPr="00250780">
        <w:rPr>
          <w:rFonts w:ascii="Georgia" w:hAnsi="Georgia"/>
          <w:bCs/>
          <w:color w:val="000000"/>
          <w:szCs w:val="27"/>
          <w:shd w:val="clear" w:color="auto" w:fill="FFFFFF"/>
        </w:rPr>
        <w:t>Neuro</w:t>
      </w:r>
      <w:r>
        <w:rPr>
          <w:rFonts w:ascii="Georgia" w:hAnsi="Georgia"/>
          <w:bCs/>
          <w:color w:val="000000"/>
          <w:szCs w:val="27"/>
          <w:shd w:val="clear" w:color="auto" w:fill="FFFFFF"/>
        </w:rPr>
        <w:t>logical</w:t>
      </w:r>
      <w:r w:rsidRPr="00250780">
        <w:rPr>
          <w:rFonts w:ascii="Georgia" w:hAnsi="Georgia"/>
          <w:bCs/>
          <w:color w:val="000000"/>
          <w:szCs w:val="27"/>
          <w:shd w:val="clear" w:color="auto" w:fill="FFFFFF"/>
        </w:rPr>
        <w:t xml:space="preserve"> checks are to be completed initially and then every two hours for 24 hours</w:t>
      </w:r>
      <w:r w:rsidR="00B65174">
        <w:rPr>
          <w:rFonts w:ascii="Georgia" w:hAnsi="Georgia"/>
          <w:bCs/>
          <w:color w:val="000000"/>
          <w:szCs w:val="27"/>
          <w:shd w:val="clear" w:color="auto" w:fill="FFFFFF"/>
        </w:rPr>
        <w:t xml:space="preserve"> and can be discontinued if the resident remains neurologically asymptomatic. </w:t>
      </w:r>
    </w:p>
    <w:p w14:paraId="78F37F0B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Oral Cavity Assessment:</w:t>
      </w:r>
      <w:r w:rsidRPr="00E22AA6">
        <w:rPr>
          <w:rFonts w:ascii="Georgia" w:hAnsi="Georgia" w:cs="Arial"/>
        </w:rPr>
        <w:t xml:space="preserve">  To be completed by a licensed nurse when the Admission Assessment indicates that the resident has oral cavity problems, and then quarterly and annually thereafter. May be done when a weight loss Event is opened.</w:t>
      </w:r>
    </w:p>
    <w:p w14:paraId="305DC1C8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 xml:space="preserve">Self-Administration of Medication Assessment- </w:t>
      </w:r>
      <w:r w:rsidRPr="00E22AA6">
        <w:rPr>
          <w:rFonts w:ascii="Georgia" w:hAnsi="Georgia" w:cs="Arial"/>
        </w:rPr>
        <w:t>To be completed by a licensed nurse upon admission. The physician MUST SIGN this assessment. Print it out and place in the physician’s folder/box.</w:t>
      </w:r>
    </w:p>
    <w:p w14:paraId="17DFE801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Pain Assessment</w:t>
      </w:r>
      <w:r w:rsidRPr="00E22AA6">
        <w:rPr>
          <w:rFonts w:ascii="Georgia" w:hAnsi="Georgia" w:cs="Arial"/>
        </w:rPr>
        <w:t xml:space="preserve">: To be </w:t>
      </w:r>
      <w:r w:rsidR="00E16F1C" w:rsidRPr="00E22AA6">
        <w:rPr>
          <w:rFonts w:ascii="Georgia" w:hAnsi="Georgia" w:cs="Arial"/>
        </w:rPr>
        <w:t>completed</w:t>
      </w:r>
      <w:r w:rsidRPr="00E22AA6">
        <w:rPr>
          <w:rFonts w:ascii="Georgia" w:hAnsi="Georgia" w:cs="Arial"/>
        </w:rPr>
        <w:t xml:space="preserve"> by a licensed nurse on admission when the Admission Assessment indicates that the resident is experiencing pain. May be done when a Pain Event is opened. </w:t>
      </w:r>
    </w:p>
    <w:p w14:paraId="03D439BF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Swallow Precautions:</w:t>
      </w:r>
      <w:r w:rsidRPr="00E22AA6">
        <w:rPr>
          <w:rFonts w:ascii="Georgia" w:hAnsi="Georgia" w:cs="Arial"/>
        </w:rPr>
        <w:t xml:space="preserve"> May be done by any licensed professional when the resident has been determined to have possible or probable swallowing difficulties. </w:t>
      </w:r>
    </w:p>
    <w:p w14:paraId="7FB7FD85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Safe Smoking Risk Assessment:</w:t>
      </w:r>
      <w:r w:rsidRPr="00E22AA6">
        <w:rPr>
          <w:rFonts w:ascii="Georgia" w:hAnsi="Georgia" w:cs="Arial"/>
        </w:rPr>
        <w:t xml:space="preserve"> Completed by a licensed nurse upon admission, quarterly and annually on residents who will be smoking during their stay. </w:t>
      </w:r>
    </w:p>
    <w:p w14:paraId="5085CCCE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Psychosocial Well-Being/Behavior/Mood Assessment and Cognitive Assessment:</w:t>
      </w:r>
      <w:r w:rsidRPr="00E22AA6">
        <w:rPr>
          <w:rFonts w:ascii="Georgia" w:hAnsi="Georgia" w:cs="Arial"/>
        </w:rPr>
        <w:t xml:space="preserve"> Completed by Social Services and/or licensed nursing upon admission, quarterly and annually.</w:t>
      </w:r>
    </w:p>
    <w:p w14:paraId="380ECD7C" w14:textId="77777777" w:rsidR="002630A3" w:rsidRPr="002630A3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AIMS</w:t>
      </w:r>
      <w:r w:rsidRPr="00E22AA6">
        <w:rPr>
          <w:rFonts w:ascii="Georgia" w:hAnsi="Georgia" w:cs="Arial"/>
        </w:rPr>
        <w:t xml:space="preserve">: To be completed by a licensed nurse upon admission, quarterly and annually </w:t>
      </w:r>
      <w:r w:rsidRPr="002630A3">
        <w:rPr>
          <w:rFonts w:ascii="Georgia" w:hAnsi="Georgia" w:cs="Arial"/>
        </w:rPr>
        <w:t>if the facility does not track side effect of psychoactive medications.</w:t>
      </w:r>
    </w:p>
    <w:p w14:paraId="2AEDCEF0" w14:textId="77777777" w:rsidR="002630A3" w:rsidRPr="002630A3" w:rsidRDefault="002630A3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2630A3">
        <w:rPr>
          <w:rFonts w:ascii="Georgia" w:eastAsia="Times New Roman" w:hAnsi="Georgia"/>
          <w:u w:val="single"/>
        </w:rPr>
        <w:t xml:space="preserve">Geriatric Depression </w:t>
      </w:r>
      <w:r>
        <w:rPr>
          <w:rFonts w:ascii="Georgia" w:eastAsia="Times New Roman" w:hAnsi="Georgia"/>
          <w:u w:val="single"/>
        </w:rPr>
        <w:t>S</w:t>
      </w:r>
      <w:r w:rsidRPr="002630A3">
        <w:rPr>
          <w:rFonts w:ascii="Georgia" w:eastAsia="Times New Roman" w:hAnsi="Georgia"/>
          <w:u w:val="single"/>
        </w:rPr>
        <w:t xml:space="preserve">cale/Mood </w:t>
      </w:r>
      <w:r>
        <w:rPr>
          <w:rFonts w:ascii="Georgia" w:eastAsia="Times New Roman" w:hAnsi="Georgia"/>
          <w:u w:val="single"/>
        </w:rPr>
        <w:t>A</w:t>
      </w:r>
      <w:r w:rsidRPr="002630A3">
        <w:rPr>
          <w:rFonts w:ascii="Georgia" w:eastAsia="Times New Roman" w:hAnsi="Georgia"/>
          <w:u w:val="single"/>
        </w:rPr>
        <w:t>ssessment</w:t>
      </w:r>
      <w:r>
        <w:rPr>
          <w:rFonts w:ascii="Georgia" w:eastAsia="Times New Roman" w:hAnsi="Georgia"/>
          <w:u w:val="single"/>
        </w:rPr>
        <w:t xml:space="preserve">: </w:t>
      </w:r>
      <w:r>
        <w:rPr>
          <w:rFonts w:ascii="Georgia" w:eastAsia="Times New Roman" w:hAnsi="Georgia"/>
        </w:rPr>
        <w:t xml:space="preserve">Social Services may complete this assessment as an alternative to the PQH-9 when not required by a scheduled MDS assessment. </w:t>
      </w:r>
    </w:p>
    <w:p w14:paraId="00288C35" w14:textId="77777777" w:rsidR="002630A3" w:rsidRPr="002630A3" w:rsidRDefault="002630A3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2630A3">
        <w:rPr>
          <w:rFonts w:ascii="Georgia" w:eastAsia="Times New Roman" w:hAnsi="Georgia"/>
          <w:u w:val="single"/>
        </w:rPr>
        <w:t>Behavior Management Follow Up</w:t>
      </w:r>
      <w:r>
        <w:rPr>
          <w:rFonts w:ascii="Georgia" w:eastAsia="Times New Roman" w:hAnsi="Georgia"/>
        </w:rPr>
        <w:t xml:space="preserve">: Completed by anyone on the IDT to assessment type and frequency of behaviors and monitor effectiveness of non-pharmacologic and pharmacological interventions. </w:t>
      </w:r>
    </w:p>
    <w:p w14:paraId="2E977784" w14:textId="77777777" w:rsidR="002630A3" w:rsidRPr="002630A3" w:rsidRDefault="002630A3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2630A3">
        <w:rPr>
          <w:rFonts w:ascii="Georgia" w:eastAsia="Times New Roman" w:hAnsi="Georgia"/>
          <w:u w:val="single"/>
        </w:rPr>
        <w:t>PQH-9</w:t>
      </w:r>
      <w:r>
        <w:rPr>
          <w:rFonts w:ascii="Georgia" w:eastAsia="Times New Roman" w:hAnsi="Georgia"/>
        </w:rPr>
        <w:t xml:space="preserve">: Completed by Social Services as required per MDS schedule. </w:t>
      </w:r>
    </w:p>
    <w:p w14:paraId="03D0C785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Cornell Scale for Reduction Assessment Depression and/or Geriatric Depression Scale</w:t>
      </w:r>
      <w:r w:rsidRPr="00E22AA6">
        <w:rPr>
          <w:rFonts w:ascii="Georgia" w:hAnsi="Georgia" w:cs="Arial"/>
        </w:rPr>
        <w:t>: To be completed by Social Services upon admission, quarterly and annually.</w:t>
      </w:r>
    </w:p>
    <w:p w14:paraId="7B82DC88" w14:textId="77777777" w:rsidR="00E22AA6" w:rsidRPr="00B65174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Skin Risk Assessment:</w:t>
      </w:r>
      <w:r w:rsidRPr="00E22AA6">
        <w:rPr>
          <w:rFonts w:ascii="Georgia" w:hAnsi="Georgia" w:cs="Arial"/>
        </w:rPr>
        <w:t xml:space="preserve"> To be completed by a licensed nurse upon admission, quarterly and annually and as needed.</w:t>
      </w:r>
      <w:r w:rsidR="00B65174">
        <w:rPr>
          <w:rFonts w:ascii="Georgia" w:hAnsi="Georgia" w:cs="Arial"/>
        </w:rPr>
        <w:t xml:space="preserve"> Contains the Braden Scale risk prediction assessment.</w:t>
      </w:r>
    </w:p>
    <w:p w14:paraId="6653357B" w14:textId="77777777" w:rsidR="00B65174" w:rsidRPr="00B65174" w:rsidRDefault="00B65174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Braden Scale:</w:t>
      </w:r>
      <w:r>
        <w:rPr>
          <w:rFonts w:ascii="Georgia" w:hAnsi="Georgia" w:cs="Arial"/>
        </w:rPr>
        <w:t xml:space="preserve"> The Skin Risk Assessment is the preferred Observation for skin risk. Braden Scale may be used PRN between set assessment intervals. </w:t>
      </w:r>
    </w:p>
    <w:p w14:paraId="21379510" w14:textId="77777777" w:rsidR="00B65174" w:rsidRPr="00E22AA6" w:rsidRDefault="00B65174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Weekly Skin Assessment, Non-Pressure Wounds:</w:t>
      </w:r>
      <w:r>
        <w:rPr>
          <w:rFonts w:ascii="Georgia" w:hAnsi="Georgia" w:cs="Arial"/>
        </w:rPr>
        <w:t xml:space="preserve"> Completed to track non-pressure ulcer wounds such as burns, lacerations, etc. </w:t>
      </w:r>
    </w:p>
    <w:p w14:paraId="6C5E576F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Social History Assessment:</w:t>
      </w:r>
      <w:r w:rsidRPr="00E22AA6">
        <w:rPr>
          <w:rFonts w:ascii="Georgia" w:hAnsi="Georgia" w:cs="Arial"/>
        </w:rPr>
        <w:t xml:space="preserve"> To be completed by Social Service</w:t>
      </w:r>
      <w:r w:rsidR="00E16F1C">
        <w:rPr>
          <w:rFonts w:ascii="Georgia" w:hAnsi="Georgia" w:cs="Arial"/>
        </w:rPr>
        <w:t>s upon admission for residents expected to stay longer than 30 days.</w:t>
      </w:r>
    </w:p>
    <w:p w14:paraId="7A4D283E" w14:textId="77777777" w:rsidR="00E16F1C" w:rsidRPr="00D544ED" w:rsidRDefault="00E16F1C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Short Stay Social History Assessment:</w:t>
      </w:r>
      <w:r>
        <w:rPr>
          <w:rFonts w:ascii="Georgia" w:hAnsi="Georgia" w:cs="Arial"/>
        </w:rPr>
        <w:t xml:space="preserve"> To be completed by Social Services upon admission for residents who are expected to stay 30 days or less.</w:t>
      </w:r>
    </w:p>
    <w:p w14:paraId="7D0DDA84" w14:textId="77777777" w:rsidR="00D544ED" w:rsidRPr="00D544ED" w:rsidRDefault="00D544ED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Admission Functional Abilities Assessment:</w:t>
      </w:r>
      <w:r>
        <w:rPr>
          <w:rFonts w:ascii="Georgia" w:hAnsi="Georgia" w:cs="Arial"/>
        </w:rPr>
        <w:t xml:space="preserve"> To be completed within eight days of admission if therapy staff unable to complete Section GG of the MDS.</w:t>
      </w:r>
    </w:p>
    <w:p w14:paraId="1784EDDF" w14:textId="77777777" w:rsidR="00D544ED" w:rsidRDefault="00D544ED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Discharge Functional Abilities Assessment:</w:t>
      </w:r>
      <w:r>
        <w:rPr>
          <w:rFonts w:ascii="Georgia" w:hAnsi="Georgia" w:cs="Arial"/>
        </w:rPr>
        <w:t xml:space="preserve"> To be completed at the time of discharge if therapy staff unable to complete Section GG of the MDS.</w:t>
      </w:r>
    </w:p>
    <w:p w14:paraId="61A6377C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Discharge Planning Assessment:</w:t>
      </w:r>
      <w:r w:rsidRPr="00E22AA6">
        <w:rPr>
          <w:rFonts w:ascii="Georgia" w:hAnsi="Georgia" w:cs="Arial"/>
        </w:rPr>
        <w:t xml:space="preserve"> To be completed by Social Services upon admission.</w:t>
      </w:r>
    </w:p>
    <w:p w14:paraId="31FB1CAC" w14:textId="77777777" w:rsidR="003B146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</w:rPr>
        <w:sectPr w:rsidR="003B1466" w:rsidSect="003B1466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22AA6">
        <w:rPr>
          <w:rFonts w:ascii="Georgia" w:hAnsi="Georgia" w:cs="Arial"/>
          <w:u w:val="single"/>
        </w:rPr>
        <w:t>Discharge Summary</w:t>
      </w:r>
      <w:r w:rsidRPr="00E22AA6">
        <w:rPr>
          <w:rFonts w:ascii="Georgia" w:hAnsi="Georgia" w:cs="Arial"/>
        </w:rPr>
        <w:t>: To be completed by Social Services and the IDT when discharge is imminent.</w:t>
      </w:r>
      <w:r w:rsidR="003B1466">
        <w:rPr>
          <w:rFonts w:ascii="Georgia" w:hAnsi="Georgia" w:cs="Arial"/>
        </w:rPr>
        <w:t xml:space="preserve"> </w:t>
      </w:r>
    </w:p>
    <w:p w14:paraId="0F906706" w14:textId="77777777" w:rsidR="00E22AA6" w:rsidRPr="00E22AA6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lastRenderedPageBreak/>
        <w:t>Discharge Plan and Instructions:</w:t>
      </w:r>
      <w:r w:rsidRPr="00E22AA6">
        <w:rPr>
          <w:rFonts w:ascii="Georgia" w:hAnsi="Georgia" w:cs="Arial"/>
        </w:rPr>
        <w:t xml:space="preserve"> To be completed by staff nurse upon discharge.</w:t>
      </w:r>
    </w:p>
    <w:p w14:paraId="31CCF90B" w14:textId="77777777" w:rsidR="00E22AA6" w:rsidRPr="00E22AA6" w:rsidRDefault="00E16F1C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S</w:t>
      </w:r>
      <w:r w:rsidR="00E22AA6" w:rsidRPr="00E22AA6">
        <w:rPr>
          <w:rFonts w:ascii="Georgia" w:hAnsi="Georgia" w:cs="Arial"/>
          <w:u w:val="single"/>
        </w:rPr>
        <w:t>creening Request</w:t>
      </w:r>
      <w:r w:rsidR="00E22AA6" w:rsidRPr="00E22AA6">
        <w:rPr>
          <w:rFonts w:ascii="Georgia" w:hAnsi="Georgia" w:cs="Arial"/>
        </w:rPr>
        <w:t>: To be completed by therapy staff as indicated.</w:t>
      </w:r>
    </w:p>
    <w:p w14:paraId="1F7AE6C0" w14:textId="77777777" w:rsidR="00E22AA6" w:rsidRPr="00E16F1C" w:rsidRDefault="00E22AA6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 w:rsidRPr="00E22AA6">
        <w:rPr>
          <w:rFonts w:ascii="Georgia" w:hAnsi="Georgia" w:cs="Arial"/>
          <w:u w:val="single"/>
        </w:rPr>
        <w:t>Fall Screen</w:t>
      </w:r>
      <w:r w:rsidRPr="00E22AA6">
        <w:rPr>
          <w:rFonts w:ascii="Georgia" w:hAnsi="Georgia" w:cs="Arial"/>
        </w:rPr>
        <w:t>: To be completed by therapy staff as indicated.</w:t>
      </w:r>
    </w:p>
    <w:p w14:paraId="48F31FBA" w14:textId="77777777" w:rsidR="00E16F1C" w:rsidRPr="00E16F1C" w:rsidRDefault="00E16F1C" w:rsidP="003B1466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after="0" w:line="240" w:lineRule="auto"/>
        <w:ind w:left="720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Wheelchair Evaluation:</w:t>
      </w:r>
      <w:r>
        <w:rPr>
          <w:rFonts w:ascii="Georgia" w:hAnsi="Georgia" w:cs="Arial"/>
        </w:rPr>
        <w:t xml:space="preserve"> To be completed by therapy staff as indicated.</w:t>
      </w:r>
    </w:p>
    <w:p w14:paraId="32150374" w14:textId="77777777" w:rsidR="00E16F1C" w:rsidRPr="00E22AA6" w:rsidRDefault="00E16F1C" w:rsidP="00E16F1C">
      <w:pPr>
        <w:pStyle w:val="Header"/>
        <w:tabs>
          <w:tab w:val="clear" w:pos="4680"/>
          <w:tab w:val="clear" w:pos="9360"/>
        </w:tabs>
        <w:ind w:left="1080"/>
        <w:rPr>
          <w:rFonts w:ascii="Georgia" w:hAnsi="Georgia" w:cs="Arial"/>
          <w:u w:val="single"/>
        </w:rPr>
      </w:pPr>
    </w:p>
    <w:sectPr w:rsidR="00E16F1C" w:rsidRPr="00E22AA6" w:rsidSect="003B146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5F18" w14:textId="77777777" w:rsidR="00FD3014" w:rsidRDefault="00FD3014" w:rsidP="00004886">
      <w:pPr>
        <w:spacing w:after="0" w:line="240" w:lineRule="auto"/>
      </w:pPr>
      <w:r>
        <w:separator/>
      </w:r>
    </w:p>
  </w:endnote>
  <w:endnote w:type="continuationSeparator" w:id="0">
    <w:p w14:paraId="313E79A4" w14:textId="77777777" w:rsidR="00FD3014" w:rsidRDefault="00FD3014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791176175"/>
      <w:docPartObj>
        <w:docPartGallery w:val="Page Numbers (Top of Page)"/>
        <w:docPartUnique/>
      </w:docPartObj>
    </w:sdtPr>
    <w:sdtContent>
      <w:p w14:paraId="52FA1584" w14:textId="1DDEB313" w:rsidR="003B1466" w:rsidRPr="003B1466" w:rsidRDefault="003B1466" w:rsidP="003B1466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3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8DA7504" w14:textId="229CA7D3" w:rsidR="00B27AD1" w:rsidRPr="003B1466" w:rsidRDefault="00B27AD1" w:rsidP="003B1466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976F02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976F02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253319">
              <w:rPr>
                <w:rFonts w:ascii="Avenir" w:hAnsi="Avenir"/>
                <w:b/>
                <w:noProof/>
              </w:rPr>
              <w:t>4</w:t>
            </w:r>
            <w:r w:rsidR="00976F02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976F02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976F02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253319">
              <w:rPr>
                <w:rFonts w:ascii="Avenir" w:hAnsi="Avenir"/>
                <w:b/>
                <w:noProof/>
              </w:rPr>
              <w:t>4</w:t>
            </w:r>
            <w:r w:rsidR="00976F02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24BB" w14:textId="77777777" w:rsidR="00FD3014" w:rsidRDefault="00FD3014" w:rsidP="00004886">
      <w:pPr>
        <w:spacing w:after="0" w:line="240" w:lineRule="auto"/>
      </w:pPr>
      <w:r>
        <w:separator/>
      </w:r>
    </w:p>
  </w:footnote>
  <w:footnote w:type="continuationSeparator" w:id="0">
    <w:p w14:paraId="5E4679FF" w14:textId="77777777" w:rsidR="00FD3014" w:rsidRDefault="00FD3014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510FE" w14:textId="5979F4BA" w:rsidR="00B27AD1" w:rsidRDefault="00A0156C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11A2B" wp14:editId="0445C196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22DD8" w14:textId="77777777" w:rsidR="00B27AD1" w:rsidRPr="0091763A" w:rsidRDefault="00B27AD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Nursing 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B11A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29C22DD8" w14:textId="77777777" w:rsidR="00B27AD1" w:rsidRPr="0091763A" w:rsidRDefault="00B27AD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Nursing 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B27AD1">
      <w:rPr>
        <w:noProof/>
      </w:rPr>
      <w:drawing>
        <wp:inline distT="0" distB="0" distL="0" distR="0" wp14:anchorId="03204294" wp14:editId="07A6EC41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AD1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3119"/>
      <w:gridCol w:w="3120"/>
    </w:tblGrid>
    <w:tr w:rsidR="003B1466" w:rsidRPr="00004886" w14:paraId="26BD01BC" w14:textId="77777777" w:rsidTr="003B1466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C990E0E" w14:textId="77777777" w:rsidR="003B1466" w:rsidRPr="0091763A" w:rsidRDefault="003B1466" w:rsidP="003B146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3B1466" w:rsidRPr="00004886" w14:paraId="01907CC5" w14:textId="77777777" w:rsidTr="003B1466">
      <w:trPr>
        <w:trHeight w:val="432"/>
      </w:trPr>
      <w:tc>
        <w:tcPr>
          <w:tcW w:w="9350" w:type="dxa"/>
          <w:gridSpan w:val="3"/>
          <w:vAlign w:val="center"/>
        </w:tcPr>
        <w:p w14:paraId="3F42D274" w14:textId="77777777" w:rsidR="003B1466" w:rsidRPr="00383057" w:rsidRDefault="003B1466" w:rsidP="003B1466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Electronic Clinical Documentation: Observations</w:t>
          </w:r>
        </w:p>
      </w:tc>
    </w:tr>
    <w:tr w:rsidR="00B27AD1" w:rsidRPr="00004886" w14:paraId="248B6F61" w14:textId="77777777" w:rsidTr="003B1466">
      <w:tc>
        <w:tcPr>
          <w:tcW w:w="3111" w:type="dxa"/>
          <w:shd w:val="clear" w:color="auto" w:fill="D9D9D9" w:themeFill="background1" w:themeFillShade="D9"/>
        </w:tcPr>
        <w:p w14:paraId="1F0F2FC4" w14:textId="77777777" w:rsidR="00B27AD1" w:rsidRPr="0091763A" w:rsidRDefault="00B27AD1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4A82D66" w14:textId="77777777" w:rsidR="00B27AD1" w:rsidRPr="0091763A" w:rsidRDefault="00B27AD1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20" w:type="dxa"/>
          <w:shd w:val="clear" w:color="auto" w:fill="D9D9D9" w:themeFill="background1" w:themeFillShade="D9"/>
        </w:tcPr>
        <w:p w14:paraId="62E27410" w14:textId="77777777" w:rsidR="00B27AD1" w:rsidRPr="0091763A" w:rsidRDefault="00B27AD1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B27AD1" w:rsidRPr="00004886" w14:paraId="47465C55" w14:textId="77777777" w:rsidTr="003B1466">
      <w:tc>
        <w:tcPr>
          <w:tcW w:w="3111" w:type="dxa"/>
        </w:tcPr>
        <w:p w14:paraId="143CAB11" w14:textId="599106B6" w:rsidR="00B27AD1" w:rsidRPr="00383057" w:rsidRDefault="00AF770D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02/</w:t>
          </w:r>
          <w:r w:rsidR="003B1466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0</w:t>
          </w:r>
          <w:r w:rsidR="00E22AA6">
            <w:rPr>
              <w:rFonts w:ascii="Georgia" w:eastAsiaTheme="minorHAnsi" w:hAnsi="Georgia" w:cstheme="minorBidi"/>
            </w:rPr>
            <w:t>9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67B61F2" w14:textId="1991E3FF" w:rsidR="00B27AD1" w:rsidRPr="00383057" w:rsidRDefault="003B1466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D67FA5">
            <w:rPr>
              <w:rFonts w:ascii="Georgia" w:eastAsiaTheme="minorHAnsi" w:hAnsi="Georgia" w:cstheme="minorBidi"/>
            </w:rPr>
            <w:t>2/26/202</w:t>
          </w:r>
          <w:r>
            <w:rPr>
              <w:rFonts w:ascii="Georgia" w:eastAsiaTheme="minorHAnsi" w:hAnsi="Georgia" w:cstheme="minorBidi"/>
            </w:rPr>
            <w:t>4</w:t>
          </w:r>
        </w:p>
      </w:tc>
      <w:tc>
        <w:tcPr>
          <w:tcW w:w="3120" w:type="dxa"/>
        </w:tcPr>
        <w:p w14:paraId="766978A6" w14:textId="0CE465FC" w:rsidR="00B27AD1" w:rsidRPr="00383057" w:rsidRDefault="003B1466" w:rsidP="00253319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D67FA5">
            <w:rPr>
              <w:rFonts w:ascii="Georgia" w:eastAsiaTheme="minorHAnsi" w:hAnsi="Georgia" w:cstheme="minorBidi"/>
            </w:rPr>
            <w:t>2/26</w:t>
          </w:r>
          <w:r w:rsidR="007B54ED">
            <w:rPr>
              <w:rFonts w:ascii="Georgia" w:eastAsiaTheme="minorHAnsi" w:hAnsi="Georgia" w:cstheme="minorBidi"/>
            </w:rPr>
            <w:t>/</w:t>
          </w:r>
          <w:r w:rsidR="00A0156C">
            <w:rPr>
              <w:rFonts w:ascii="Georgia" w:eastAsiaTheme="minorHAnsi" w:hAnsi="Georgia" w:cstheme="minorBidi"/>
            </w:rPr>
            <w:t>20</w:t>
          </w:r>
          <w:r w:rsidR="00253319">
            <w:rPr>
              <w:rFonts w:ascii="Georgia" w:eastAsiaTheme="minorHAnsi" w:hAnsi="Georgia" w:cstheme="minorBidi"/>
            </w:rPr>
            <w:t>2</w:t>
          </w:r>
          <w:r w:rsidR="00AD1A06">
            <w:rPr>
              <w:rFonts w:ascii="Georgia" w:eastAsiaTheme="minorHAnsi" w:hAnsi="Georgia" w:cstheme="minorBidi"/>
            </w:rPr>
            <w:t>6</w:t>
          </w:r>
        </w:p>
      </w:tc>
    </w:tr>
    <w:tr w:rsidR="00B27AD1" w:rsidRPr="00004886" w14:paraId="4A09C3F0" w14:textId="77777777" w:rsidTr="003B1466">
      <w:tc>
        <w:tcPr>
          <w:tcW w:w="3111" w:type="dxa"/>
          <w:shd w:val="clear" w:color="auto" w:fill="D9D9D9" w:themeFill="background1" w:themeFillShade="D9"/>
        </w:tcPr>
        <w:p w14:paraId="71511599" w14:textId="77777777" w:rsidR="00B27AD1" w:rsidRPr="0091763A" w:rsidRDefault="00B27AD1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 Title</w:t>
          </w:r>
        </w:p>
      </w:tc>
      <w:tc>
        <w:tcPr>
          <w:tcW w:w="6239" w:type="dxa"/>
          <w:gridSpan w:val="2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EB67DED" w14:textId="77777777" w:rsidR="00B27AD1" w:rsidRPr="0091763A" w:rsidRDefault="00B27AD1" w:rsidP="00E37B4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B27AD1" w:rsidRPr="00004886" w14:paraId="1FAD1641" w14:textId="77777777" w:rsidTr="003B1466">
      <w:tc>
        <w:tcPr>
          <w:tcW w:w="3111" w:type="dxa"/>
        </w:tcPr>
        <w:p w14:paraId="73AEBC08" w14:textId="77777777" w:rsidR="00B27AD1" w:rsidRPr="00383057" w:rsidRDefault="00B27AD1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Clinical Systems Analyst</w:t>
          </w:r>
        </w:p>
      </w:tc>
      <w:tc>
        <w:tcPr>
          <w:tcW w:w="6239" w:type="dxa"/>
          <w:gridSpan w:val="2"/>
          <w:tcMar>
            <w:top w:w="115" w:type="dxa"/>
            <w:left w:w="115" w:type="dxa"/>
            <w:bottom w:w="115" w:type="dxa"/>
            <w:right w:w="115" w:type="dxa"/>
          </w:tcMar>
        </w:tcPr>
        <w:p w14:paraId="117063B0" w14:textId="77CC64DA" w:rsidR="00B27AD1" w:rsidRPr="00383057" w:rsidRDefault="003B1466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3B1466"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B27AD1" w:rsidRPr="00004886" w14:paraId="5BED56D3" w14:textId="77777777" w:rsidTr="003B1466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E3B81BF" w14:textId="77777777" w:rsidR="00B27AD1" w:rsidRPr="0091763A" w:rsidRDefault="00B27AD1" w:rsidP="007B4B43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</w:t>
          </w:r>
          <w:r>
            <w:rPr>
              <w:rFonts w:ascii="Avenir" w:eastAsiaTheme="minorHAnsi" w:hAnsi="Avenir" w:cstheme="minorBidi"/>
              <w:b/>
            </w:rPr>
            <w:t xml:space="preserve">tachments or Other Resources </w:t>
          </w:r>
        </w:p>
      </w:tc>
    </w:tr>
    <w:tr w:rsidR="00B27AD1" w:rsidRPr="00004886" w14:paraId="254F618A" w14:textId="77777777" w:rsidTr="003B1466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B28BFB5" w14:textId="77777777" w:rsidR="00B27AD1" w:rsidRPr="00383057" w:rsidRDefault="00B27AD1" w:rsidP="00E37B45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15DBC5A" w14:textId="77777777" w:rsidR="00B27AD1" w:rsidRDefault="00B27AD1" w:rsidP="0000488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10A7" w14:textId="7E332644" w:rsidR="003B1466" w:rsidRDefault="003B1466" w:rsidP="003B1466">
    <w:pPr>
      <w:pStyle w:val="Header"/>
      <w:ind w:left="-72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45D"/>
    <w:multiLevelType w:val="hybridMultilevel"/>
    <w:tmpl w:val="CD30204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00111"/>
    <w:multiLevelType w:val="hybridMultilevel"/>
    <w:tmpl w:val="52A4E460"/>
    <w:lvl w:ilvl="0" w:tplc="2EC2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763F5"/>
    <w:multiLevelType w:val="hybridMultilevel"/>
    <w:tmpl w:val="11CE78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2B2BF1"/>
    <w:multiLevelType w:val="hybridMultilevel"/>
    <w:tmpl w:val="FB907FB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7068E"/>
    <w:multiLevelType w:val="hybridMultilevel"/>
    <w:tmpl w:val="630E84C2"/>
    <w:lvl w:ilvl="0" w:tplc="0AA6F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570863"/>
    <w:multiLevelType w:val="hybridMultilevel"/>
    <w:tmpl w:val="997803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5894B5D"/>
    <w:multiLevelType w:val="hybridMultilevel"/>
    <w:tmpl w:val="125220A0"/>
    <w:lvl w:ilvl="0" w:tplc="0A2CA6D0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583ED4"/>
    <w:multiLevelType w:val="hybridMultilevel"/>
    <w:tmpl w:val="21CCFBE0"/>
    <w:lvl w:ilvl="0" w:tplc="58E226EA">
      <w:start w:val="7"/>
      <w:numFmt w:val="decimal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12F01"/>
    <w:multiLevelType w:val="hybridMultilevel"/>
    <w:tmpl w:val="EBE2C2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F012F"/>
    <w:multiLevelType w:val="hybridMultilevel"/>
    <w:tmpl w:val="4CF015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1F494F"/>
    <w:multiLevelType w:val="hybridMultilevel"/>
    <w:tmpl w:val="5D063268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AA7714D"/>
    <w:multiLevelType w:val="hybridMultilevel"/>
    <w:tmpl w:val="BFDE4DBC"/>
    <w:lvl w:ilvl="0" w:tplc="0409000F">
      <w:start w:val="1"/>
      <w:numFmt w:val="decimal"/>
      <w:lvlText w:val="%1."/>
      <w:lvlJc w:val="left"/>
      <w:pPr>
        <w:ind w:left="-2520" w:hanging="360"/>
      </w:p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5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405C3"/>
    <w:multiLevelType w:val="hybridMultilevel"/>
    <w:tmpl w:val="97923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647F5"/>
    <w:multiLevelType w:val="hybridMultilevel"/>
    <w:tmpl w:val="997803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5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4"/>
  </w:num>
  <w:num w:numId="10">
    <w:abstractNumId w:val="3"/>
  </w:num>
  <w:num w:numId="11">
    <w:abstractNumId w:val="13"/>
  </w:num>
  <w:num w:numId="12">
    <w:abstractNumId w:val="10"/>
  </w:num>
  <w:num w:numId="13">
    <w:abstractNumId w:val="7"/>
  </w:num>
  <w:num w:numId="14">
    <w:abstractNumId w:val="9"/>
  </w:num>
  <w:num w:numId="15">
    <w:abstractNumId w:val="16"/>
  </w:num>
  <w:num w:numId="16">
    <w:abstractNumId w:val="2"/>
  </w:num>
  <w:num w:numId="17">
    <w:abstractNumId w:val="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3719A"/>
    <w:rsid w:val="00070BDF"/>
    <w:rsid w:val="000F5AA6"/>
    <w:rsid w:val="00105956"/>
    <w:rsid w:val="001908BB"/>
    <w:rsid w:val="001B6F58"/>
    <w:rsid w:val="002174C0"/>
    <w:rsid w:val="002411C8"/>
    <w:rsid w:val="00250780"/>
    <w:rsid w:val="00253319"/>
    <w:rsid w:val="002630A3"/>
    <w:rsid w:val="00366B62"/>
    <w:rsid w:val="00383057"/>
    <w:rsid w:val="003A605C"/>
    <w:rsid w:val="003B1466"/>
    <w:rsid w:val="00496194"/>
    <w:rsid w:val="004E48E8"/>
    <w:rsid w:val="004F7E1E"/>
    <w:rsid w:val="00626ED7"/>
    <w:rsid w:val="006318B2"/>
    <w:rsid w:val="00636251"/>
    <w:rsid w:val="0064513A"/>
    <w:rsid w:val="006772EC"/>
    <w:rsid w:val="0069326C"/>
    <w:rsid w:val="00721119"/>
    <w:rsid w:val="007B4B43"/>
    <w:rsid w:val="007B54ED"/>
    <w:rsid w:val="007D240F"/>
    <w:rsid w:val="00806F6F"/>
    <w:rsid w:val="00810367"/>
    <w:rsid w:val="00857EA6"/>
    <w:rsid w:val="008F49D4"/>
    <w:rsid w:val="00914055"/>
    <w:rsid w:val="0091763A"/>
    <w:rsid w:val="009342A6"/>
    <w:rsid w:val="00976F02"/>
    <w:rsid w:val="009A7710"/>
    <w:rsid w:val="00A0156C"/>
    <w:rsid w:val="00A60D59"/>
    <w:rsid w:val="00AC299E"/>
    <w:rsid w:val="00AD1A06"/>
    <w:rsid w:val="00AF770D"/>
    <w:rsid w:val="00B27AD1"/>
    <w:rsid w:val="00B5065F"/>
    <w:rsid w:val="00B65174"/>
    <w:rsid w:val="00BA51C0"/>
    <w:rsid w:val="00BE15B1"/>
    <w:rsid w:val="00C70850"/>
    <w:rsid w:val="00C95917"/>
    <w:rsid w:val="00D544ED"/>
    <w:rsid w:val="00D67FA5"/>
    <w:rsid w:val="00DD17C5"/>
    <w:rsid w:val="00E16F1C"/>
    <w:rsid w:val="00E22AA6"/>
    <w:rsid w:val="00E37B45"/>
    <w:rsid w:val="00E547EA"/>
    <w:rsid w:val="00E810E1"/>
    <w:rsid w:val="00EF5B61"/>
    <w:rsid w:val="00F107CD"/>
    <w:rsid w:val="00F53FEA"/>
    <w:rsid w:val="00FD3014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B3A97"/>
  <w15:docId w15:val="{01176A3C-D926-443F-9A55-D4BA9C6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770D"/>
    <w:pPr>
      <w:keepNext/>
      <w:spacing w:after="0" w:line="240" w:lineRule="auto"/>
      <w:ind w:left="1080"/>
      <w:outlineLvl w:val="0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27AD1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7AD1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770D"/>
    <w:rPr>
      <w:rFonts w:ascii="Arial" w:eastAsia="Times New Roman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8276B-5AE2-486B-B828-F30897B6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2024-03-21T13:11:00Z</dcterms:created>
  <dcterms:modified xsi:type="dcterms:W3CDTF">2024-03-25T21:07:00Z</dcterms:modified>
</cp:coreProperties>
</file>