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CA709" w14:textId="77777777" w:rsidR="00247F2F" w:rsidRPr="0017562B" w:rsidRDefault="00247F2F" w:rsidP="00E6426B">
      <w:pPr>
        <w:pStyle w:val="Heading3"/>
        <w:spacing w:line="360" w:lineRule="auto"/>
        <w:rPr>
          <w:rFonts w:ascii="Avenir" w:hAnsi="Avenir"/>
        </w:rPr>
      </w:pPr>
      <w:r w:rsidRPr="0017562B">
        <w:rPr>
          <w:rFonts w:ascii="Avenir" w:hAnsi="Avenir"/>
        </w:rPr>
        <w:t>PURPOSE</w:t>
      </w:r>
      <w:bookmarkStart w:id="0" w:name="_GoBack"/>
      <w:bookmarkEnd w:id="0"/>
    </w:p>
    <w:p w14:paraId="1500F497" w14:textId="77777777" w:rsidR="007D240F" w:rsidRPr="00076DB9" w:rsidRDefault="00076DB9" w:rsidP="00247F2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T</w:t>
      </w:r>
      <w:r w:rsidRPr="00076DB9">
        <w:rPr>
          <w:rFonts w:ascii="Georgia" w:hAnsi="Georgia"/>
        </w:rPr>
        <w:t>o provide guidelines for the instruction of patients and family/caregivers regarding the safe, effective use of medical equipment and/or supplies</w:t>
      </w:r>
      <w:r>
        <w:rPr>
          <w:rFonts w:ascii="Georgia" w:hAnsi="Georgia"/>
        </w:rPr>
        <w:t>.</w:t>
      </w:r>
    </w:p>
    <w:p w14:paraId="60B4031F" w14:textId="77777777" w:rsidR="00247F2F" w:rsidRPr="00076DB9" w:rsidRDefault="00247F2F" w:rsidP="00247F2F">
      <w:pPr>
        <w:spacing w:after="0" w:line="240" w:lineRule="auto"/>
        <w:rPr>
          <w:rFonts w:ascii="Georgia" w:hAnsi="Georgia"/>
        </w:rPr>
      </w:pPr>
    </w:p>
    <w:p w14:paraId="74E893ED" w14:textId="77777777" w:rsidR="00247F2F" w:rsidRPr="0017562B" w:rsidRDefault="00247F2F" w:rsidP="00E6426B">
      <w:pPr>
        <w:pStyle w:val="Heading3"/>
        <w:spacing w:line="360" w:lineRule="auto"/>
        <w:rPr>
          <w:rFonts w:ascii="Avenir" w:hAnsi="Avenir"/>
        </w:rPr>
      </w:pPr>
      <w:r w:rsidRPr="0017562B">
        <w:rPr>
          <w:rFonts w:ascii="Avenir" w:hAnsi="Avenir"/>
        </w:rPr>
        <w:t>POLICY</w:t>
      </w:r>
    </w:p>
    <w:p w14:paraId="197FD8DF" w14:textId="77777777" w:rsidR="00076DB9" w:rsidRPr="00076DB9" w:rsidRDefault="00076DB9" w:rsidP="00076DB9">
      <w:pPr>
        <w:spacing w:after="0" w:line="240" w:lineRule="auto"/>
        <w:rPr>
          <w:rFonts w:ascii="Georgia" w:hAnsi="Georgia"/>
        </w:rPr>
      </w:pPr>
      <w:r w:rsidRPr="00076DB9">
        <w:rPr>
          <w:rFonts w:ascii="Georgia" w:hAnsi="Georgia"/>
        </w:rPr>
        <w:t>Patients will receive information regarding the safe and effective use of home medical equipment (HME) and supplies provided by Ohio Living Home Health &amp; Hospice</w:t>
      </w:r>
      <w:r>
        <w:rPr>
          <w:rFonts w:ascii="Georgia" w:hAnsi="Georgia"/>
        </w:rPr>
        <w:t>.</w:t>
      </w:r>
      <w:r w:rsidRPr="00076DB9">
        <w:rPr>
          <w:rFonts w:ascii="Georgia" w:hAnsi="Georgia"/>
        </w:rPr>
        <w:t xml:space="preserve"> When medical equipment is supplied by another organization, organization personnel will be supportive in the patient teaching role.</w:t>
      </w:r>
    </w:p>
    <w:p w14:paraId="58AF9A88" w14:textId="77777777" w:rsidR="00247F2F" w:rsidRPr="00247F2F" w:rsidRDefault="00247F2F" w:rsidP="00247F2F">
      <w:pPr>
        <w:spacing w:after="0" w:line="240" w:lineRule="auto"/>
        <w:rPr>
          <w:rFonts w:ascii="Georgia" w:hAnsi="Georgia"/>
        </w:rPr>
      </w:pPr>
    </w:p>
    <w:p w14:paraId="63C84419" w14:textId="77777777" w:rsidR="00247F2F" w:rsidRPr="0017562B" w:rsidRDefault="00247F2F" w:rsidP="00E6426B">
      <w:pPr>
        <w:pStyle w:val="Heading3"/>
        <w:spacing w:line="360" w:lineRule="auto"/>
        <w:rPr>
          <w:rFonts w:ascii="Avenir" w:hAnsi="Avenir"/>
        </w:rPr>
      </w:pPr>
      <w:r w:rsidRPr="0017562B">
        <w:rPr>
          <w:rFonts w:ascii="Avenir" w:hAnsi="Avenir"/>
        </w:rPr>
        <w:t>PROCEDURE</w:t>
      </w:r>
    </w:p>
    <w:p w14:paraId="14E9541E" w14:textId="77777777" w:rsidR="00076DB9" w:rsidRPr="00076DB9" w:rsidRDefault="00076DB9" w:rsidP="00A42B4E">
      <w:pPr>
        <w:pStyle w:val="BodyTextIndent"/>
        <w:numPr>
          <w:ilvl w:val="1"/>
          <w:numId w:val="12"/>
        </w:numPr>
        <w:tabs>
          <w:tab w:val="clear" w:pos="1872"/>
        </w:tabs>
        <w:ind w:left="360"/>
        <w:rPr>
          <w:rFonts w:ascii="Georgia" w:hAnsi="Georgia"/>
        </w:rPr>
      </w:pPr>
      <w:r w:rsidRPr="00076DB9">
        <w:rPr>
          <w:rFonts w:ascii="Georgia" w:hAnsi="Georgia"/>
        </w:rPr>
        <w:t xml:space="preserve">Upon admission, the patient assessment will document the use of any medical equipment or supplies being used in the home.  </w:t>
      </w:r>
    </w:p>
    <w:p w14:paraId="564CBEFD" w14:textId="77777777" w:rsidR="00076DB9" w:rsidRPr="00076DB9" w:rsidRDefault="00076DB9" w:rsidP="00A42B4E">
      <w:pPr>
        <w:pStyle w:val="BodyTextIndent"/>
        <w:numPr>
          <w:ilvl w:val="1"/>
          <w:numId w:val="12"/>
        </w:numPr>
        <w:tabs>
          <w:tab w:val="clear" w:pos="1872"/>
        </w:tabs>
        <w:ind w:left="360"/>
        <w:rPr>
          <w:rFonts w:ascii="Georgia" w:hAnsi="Georgia"/>
        </w:rPr>
      </w:pPr>
      <w:r w:rsidRPr="00076DB9">
        <w:rPr>
          <w:rFonts w:ascii="Georgia" w:hAnsi="Georgia"/>
        </w:rPr>
        <w:t>The clinician will, through interview and observation, determine patient and family/caregiver level of understanding of the use of any equipment and supplies ordered for care, treatment, and service.</w:t>
      </w:r>
    </w:p>
    <w:p w14:paraId="5947E3AC" w14:textId="77777777" w:rsidR="00076DB9" w:rsidRPr="00076DB9" w:rsidRDefault="00076DB9" w:rsidP="00A42B4E">
      <w:pPr>
        <w:pStyle w:val="BodyTextIndent"/>
        <w:numPr>
          <w:ilvl w:val="1"/>
          <w:numId w:val="12"/>
        </w:numPr>
        <w:tabs>
          <w:tab w:val="clear" w:pos="1872"/>
        </w:tabs>
        <w:ind w:left="360"/>
        <w:rPr>
          <w:rFonts w:ascii="Georgia" w:hAnsi="Georgia"/>
        </w:rPr>
      </w:pPr>
      <w:r w:rsidRPr="00076DB9">
        <w:rPr>
          <w:rFonts w:ascii="Georgia" w:hAnsi="Georgia"/>
        </w:rPr>
        <w:t>If the patient and family/caregiver have knowledge and skill deficits regarding the use of the HME or supplies and the clinician has a sound knowledge base regarding the equipment or supplies, the clinician may provide additional instruction to the patient and family/caregiver.</w:t>
      </w:r>
    </w:p>
    <w:p w14:paraId="35F62FAD" w14:textId="77777777" w:rsidR="00076DB9" w:rsidRPr="00076DB9" w:rsidRDefault="00076DB9" w:rsidP="00A42B4E">
      <w:pPr>
        <w:pStyle w:val="BodyTextIndent"/>
        <w:numPr>
          <w:ilvl w:val="1"/>
          <w:numId w:val="12"/>
        </w:numPr>
        <w:tabs>
          <w:tab w:val="clear" w:pos="1872"/>
        </w:tabs>
        <w:ind w:left="360"/>
        <w:rPr>
          <w:rFonts w:ascii="Georgia" w:hAnsi="Georgia"/>
        </w:rPr>
      </w:pPr>
      <w:r w:rsidRPr="00076DB9">
        <w:rPr>
          <w:rFonts w:ascii="Georgia" w:hAnsi="Georgia"/>
        </w:rPr>
        <w:t>If the patient and family/caregiver have knowledge and skill deficits regarding the use of the HME and the clinician does not have a sound knowledge base regarding the equipment, the clinician will contact the HME company to further instruct the patient and family/caregiver.</w:t>
      </w:r>
    </w:p>
    <w:p w14:paraId="408FD2CB" w14:textId="77777777" w:rsidR="00076DB9" w:rsidRPr="00076DB9" w:rsidRDefault="00076DB9" w:rsidP="00A42B4E">
      <w:pPr>
        <w:pStyle w:val="BodyTextIndent"/>
        <w:numPr>
          <w:ilvl w:val="1"/>
          <w:numId w:val="12"/>
        </w:numPr>
        <w:tabs>
          <w:tab w:val="clear" w:pos="1872"/>
        </w:tabs>
        <w:ind w:left="360"/>
        <w:rPr>
          <w:rFonts w:ascii="Georgia" w:hAnsi="Georgia"/>
        </w:rPr>
      </w:pPr>
      <w:r w:rsidRPr="00076DB9">
        <w:rPr>
          <w:rFonts w:ascii="Georgia" w:hAnsi="Georgia"/>
        </w:rPr>
        <w:t xml:space="preserve">Specific operational information related to these items will be obtained from the HME company providing the equipment. </w:t>
      </w:r>
    </w:p>
    <w:p w14:paraId="68969281" w14:textId="77777777" w:rsidR="00076DB9" w:rsidRDefault="00076DB9" w:rsidP="00A42B4E">
      <w:pPr>
        <w:pStyle w:val="BodyTextIndent"/>
        <w:numPr>
          <w:ilvl w:val="1"/>
          <w:numId w:val="12"/>
        </w:numPr>
        <w:tabs>
          <w:tab w:val="clear" w:pos="1872"/>
        </w:tabs>
        <w:ind w:left="360"/>
        <w:rPr>
          <w:rFonts w:ascii="Georgia" w:hAnsi="Georgia"/>
        </w:rPr>
      </w:pPr>
      <w:r w:rsidRPr="00076DB9">
        <w:rPr>
          <w:rFonts w:ascii="Georgia" w:hAnsi="Georgia"/>
        </w:rPr>
        <w:t>If equipment operation has not been explained to the patient by the HME company, the clinician should provide or arrange education or contact the company to provide further information and/or instruction, as needed.</w:t>
      </w:r>
    </w:p>
    <w:p w14:paraId="737F5A1E" w14:textId="77777777" w:rsidR="00247F2F" w:rsidRPr="00076DB9" w:rsidRDefault="00076DB9" w:rsidP="00A42B4E">
      <w:pPr>
        <w:pStyle w:val="BodyTextIndent"/>
        <w:numPr>
          <w:ilvl w:val="1"/>
          <w:numId w:val="12"/>
        </w:numPr>
        <w:tabs>
          <w:tab w:val="clear" w:pos="1872"/>
        </w:tabs>
        <w:ind w:left="360"/>
        <w:rPr>
          <w:rFonts w:ascii="Georgia" w:hAnsi="Georgia"/>
        </w:rPr>
      </w:pPr>
      <w:r w:rsidRPr="00076DB9">
        <w:rPr>
          <w:rFonts w:ascii="Georgia" w:hAnsi="Georgia"/>
        </w:rPr>
        <w:t>Documentation of patient and family/caregiver instruction will be made in clinical record</w:t>
      </w:r>
      <w:r w:rsidR="00A42B4E">
        <w:rPr>
          <w:rFonts w:ascii="Georgia" w:hAnsi="Georgia"/>
        </w:rPr>
        <w:t>.</w:t>
      </w:r>
    </w:p>
    <w:sectPr w:rsidR="00247F2F" w:rsidRPr="00076DB9" w:rsidSect="00E6426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9DD0" w14:textId="77777777" w:rsidR="006B517B" w:rsidRDefault="006B517B" w:rsidP="00004886">
      <w:pPr>
        <w:spacing w:after="0" w:line="240" w:lineRule="auto"/>
      </w:pPr>
      <w:r>
        <w:separator/>
      </w:r>
    </w:p>
  </w:endnote>
  <w:endnote w:type="continuationSeparator" w:id="0">
    <w:p w14:paraId="0FD25B1E" w14:textId="77777777" w:rsidR="006B517B" w:rsidRDefault="006B517B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5F76242" w14:textId="77777777" w:rsidR="004F6C2F" w:rsidRPr="00E6426B" w:rsidRDefault="004F6C2F" w:rsidP="00E6426B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515940">
              <w:rPr>
                <w:rFonts w:ascii="Avenir" w:hAnsi="Avenir"/>
                <w:b/>
                <w:noProof/>
              </w:rPr>
              <w:t>1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515940">
              <w:rPr>
                <w:rFonts w:ascii="Avenir" w:hAnsi="Avenir"/>
                <w:b/>
                <w:noProof/>
              </w:rPr>
              <w:t>2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12961" w14:textId="77777777" w:rsidR="006B517B" w:rsidRDefault="006B517B" w:rsidP="00004886">
      <w:pPr>
        <w:spacing w:after="0" w:line="240" w:lineRule="auto"/>
      </w:pPr>
      <w:r>
        <w:separator/>
      </w:r>
    </w:p>
  </w:footnote>
  <w:footnote w:type="continuationSeparator" w:id="0">
    <w:p w14:paraId="6745B19F" w14:textId="77777777" w:rsidR="006B517B" w:rsidRDefault="006B517B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330F6" w14:textId="77777777" w:rsidR="004F6C2F" w:rsidRDefault="00515940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FB7A8" wp14:editId="59555D27">
              <wp:simplePos x="0" y="0"/>
              <wp:positionH relativeFrom="column">
                <wp:posOffset>2775005</wp:posOffset>
              </wp:positionH>
              <wp:positionV relativeFrom="paragraph">
                <wp:posOffset>93345</wp:posOffset>
              </wp:positionV>
              <wp:extent cx="3515195" cy="503555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5195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A799A" w14:textId="77777777" w:rsidR="004F6C2F" w:rsidRPr="0091763A" w:rsidRDefault="005C15F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Home Health and Hospice Core </w:t>
                          </w:r>
                          <w:r w:rsidR="004F6C2F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9FB7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8.5pt;margin-top:7.35pt;width:276.8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" stroked="f">
              <v:textbox style="mso-fit-shape-to-text:t">
                <w:txbxContent>
                  <w:p w14:paraId="110A799A" w14:textId="77777777" w:rsidR="004F6C2F" w:rsidRPr="0091763A" w:rsidRDefault="005C15F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 xml:space="preserve">Home Health and Hospice Core </w:t>
                    </w:r>
                    <w:r w:rsidR="004F6C2F" w:rsidRPr="0091763A">
                      <w:rPr>
                        <w:rFonts w:ascii="Avenir" w:hAnsi="Avenir"/>
                        <w:sz w:val="32"/>
                        <w:szCs w:val="3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9A29B9">
      <w:rPr>
        <w:noProof/>
      </w:rPr>
      <w:drawing>
        <wp:inline distT="0" distB="0" distL="0" distR="0" wp14:anchorId="3AE3990E" wp14:editId="4873798A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C2F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4"/>
      <w:gridCol w:w="3119"/>
      <w:gridCol w:w="3117"/>
    </w:tblGrid>
    <w:tr w:rsidR="005C15F1" w:rsidRPr="00004886" w14:paraId="7E767592" w14:textId="77777777" w:rsidTr="005C15F1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2A9FDB1" w14:textId="77777777" w:rsidR="005C15F1" w:rsidRPr="0091763A" w:rsidRDefault="005C15F1" w:rsidP="005C15F1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5C15F1" w:rsidRPr="00004886" w14:paraId="2BAAD761" w14:textId="77777777" w:rsidTr="005C15F1">
      <w:trPr>
        <w:trHeight w:val="432"/>
      </w:trPr>
      <w:tc>
        <w:tcPr>
          <w:tcW w:w="9350" w:type="dxa"/>
          <w:gridSpan w:val="3"/>
          <w:vAlign w:val="center"/>
        </w:tcPr>
        <w:p w14:paraId="21894F10" w14:textId="77777777" w:rsidR="005C15F1" w:rsidRPr="00383057" w:rsidRDefault="005C15F1" w:rsidP="005C15F1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Safe Use of Equipment and Supplies</w:t>
          </w:r>
        </w:p>
      </w:tc>
    </w:tr>
    <w:tr w:rsidR="004F6C2F" w:rsidRPr="00004886" w14:paraId="72335FB8" w14:textId="77777777" w:rsidTr="005C15F1">
      <w:tc>
        <w:tcPr>
          <w:tcW w:w="3114" w:type="dxa"/>
          <w:shd w:val="clear" w:color="auto" w:fill="D9D9D9" w:themeFill="background1" w:themeFillShade="D9"/>
        </w:tcPr>
        <w:p w14:paraId="5415716A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9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5ACCCCB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6139670E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6ECF5CF8" w14:textId="77777777" w:rsidTr="005C15F1">
      <w:tc>
        <w:tcPr>
          <w:tcW w:w="3114" w:type="dxa"/>
        </w:tcPr>
        <w:p w14:paraId="37EC1BAB" w14:textId="77777777" w:rsidR="004F6C2F" w:rsidRPr="00383057" w:rsidRDefault="005C15F1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9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77EE327B" w14:textId="6E0D9D8B" w:rsidR="004F6C2F" w:rsidRPr="00383057" w:rsidRDefault="00C60E41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12/15/2023</w:t>
          </w:r>
        </w:p>
      </w:tc>
      <w:tc>
        <w:tcPr>
          <w:tcW w:w="3117" w:type="dxa"/>
        </w:tcPr>
        <w:p w14:paraId="08137DD7" w14:textId="2DD3E128" w:rsidR="004F6C2F" w:rsidRPr="00383057" w:rsidRDefault="00C60E41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12/15/2025</w:t>
          </w:r>
        </w:p>
      </w:tc>
    </w:tr>
    <w:tr w:rsidR="005C15F1" w:rsidRPr="00004886" w14:paraId="2B094AC5" w14:textId="77777777" w:rsidTr="005C15F1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42E9B51" w14:textId="77777777" w:rsidR="005C15F1" w:rsidRPr="0091763A" w:rsidRDefault="005C15F1" w:rsidP="005C15F1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5C15F1" w:rsidRPr="00004886" w14:paraId="1AAB5C74" w14:textId="77777777" w:rsidTr="005C15F1">
      <w:trPr>
        <w:trHeight w:val="576"/>
      </w:trPr>
      <w:tc>
        <w:tcPr>
          <w:tcW w:w="9350" w:type="dxa"/>
          <w:gridSpan w:val="3"/>
          <w:vAlign w:val="center"/>
        </w:tcPr>
        <w:p w14:paraId="1E8620F7" w14:textId="77777777" w:rsidR="005C15F1" w:rsidRPr="00383057" w:rsidRDefault="005C15F1" w:rsidP="005C15F1">
          <w:pPr>
            <w:spacing w:after="0" w:line="240" w:lineRule="auto"/>
            <w:rPr>
              <w:rFonts w:ascii="Georgia" w:eastAsiaTheme="minorHAnsi" w:hAnsi="Georgia" w:cstheme="minorBidi"/>
            </w:rPr>
          </w:pPr>
          <w:r w:rsidRPr="00617016"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</w:t>
          </w:r>
          <w:r>
            <w:rPr>
              <w:rFonts w:ascii="Georgia" w:eastAsiaTheme="minorHAnsi" w:hAnsi="Georgia" w:cstheme="minorBidi"/>
            </w:rPr>
            <w:t>.</w:t>
          </w:r>
        </w:p>
      </w:tc>
    </w:tr>
    <w:tr w:rsidR="004F6C2F" w:rsidRPr="00004886" w14:paraId="068A1AD6" w14:textId="77777777" w:rsidTr="005C15F1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B0694E0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1F67B7CD" w14:textId="77777777" w:rsidTr="005C15F1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7B3445D3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6902E898" w14:textId="77777777" w:rsidR="004F6C2F" w:rsidRPr="00E6426B" w:rsidRDefault="004F6C2F" w:rsidP="00E6426B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8D6569"/>
    <w:multiLevelType w:val="hybridMultilevel"/>
    <w:tmpl w:val="EA3EDFDA"/>
    <w:lvl w:ilvl="0" w:tplc="E9F037E4">
      <w:start w:val="1"/>
      <w:numFmt w:val="upperLetter"/>
      <w:lvlText w:val="%1."/>
      <w:lvlJc w:val="left"/>
      <w:pPr>
        <w:tabs>
          <w:tab w:val="num" w:pos="1224"/>
        </w:tabs>
        <w:ind w:left="864"/>
      </w:pPr>
      <w:rPr>
        <w:rFonts w:hint="default"/>
        <w:b w:val="0"/>
        <w:bCs w:val="0"/>
        <w:i w:val="0"/>
        <w:iCs w:val="0"/>
      </w:rPr>
    </w:lvl>
    <w:lvl w:ilvl="1" w:tplc="369C87FA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1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76DB9"/>
    <w:rsid w:val="000E0733"/>
    <w:rsid w:val="001D3240"/>
    <w:rsid w:val="002174C0"/>
    <w:rsid w:val="00247F2F"/>
    <w:rsid w:val="00366B62"/>
    <w:rsid w:val="00383057"/>
    <w:rsid w:val="003A605C"/>
    <w:rsid w:val="004039FB"/>
    <w:rsid w:val="00496194"/>
    <w:rsid w:val="004B00A2"/>
    <w:rsid w:val="004B63CA"/>
    <w:rsid w:val="004F6C2F"/>
    <w:rsid w:val="004F7E1E"/>
    <w:rsid w:val="00513DB0"/>
    <w:rsid w:val="00515940"/>
    <w:rsid w:val="005B6DE7"/>
    <w:rsid w:val="005C15F1"/>
    <w:rsid w:val="005D062F"/>
    <w:rsid w:val="006318B2"/>
    <w:rsid w:val="00636251"/>
    <w:rsid w:val="0064513A"/>
    <w:rsid w:val="006772EC"/>
    <w:rsid w:val="006B517B"/>
    <w:rsid w:val="006C0ECD"/>
    <w:rsid w:val="00721119"/>
    <w:rsid w:val="00744C01"/>
    <w:rsid w:val="0078125E"/>
    <w:rsid w:val="007D240F"/>
    <w:rsid w:val="00806F6F"/>
    <w:rsid w:val="00857EA6"/>
    <w:rsid w:val="008F49D4"/>
    <w:rsid w:val="00914055"/>
    <w:rsid w:val="0091763A"/>
    <w:rsid w:val="009342A6"/>
    <w:rsid w:val="009A29B9"/>
    <w:rsid w:val="009F3EE2"/>
    <w:rsid w:val="00A1280F"/>
    <w:rsid w:val="00A42B4E"/>
    <w:rsid w:val="00A63F7C"/>
    <w:rsid w:val="00A67369"/>
    <w:rsid w:val="00AC317F"/>
    <w:rsid w:val="00AF7CAE"/>
    <w:rsid w:val="00BA51C0"/>
    <w:rsid w:val="00C60E41"/>
    <w:rsid w:val="00C64309"/>
    <w:rsid w:val="00C70850"/>
    <w:rsid w:val="00C82A2B"/>
    <w:rsid w:val="00C97BB8"/>
    <w:rsid w:val="00DD17C5"/>
    <w:rsid w:val="00DE38FB"/>
    <w:rsid w:val="00E05A16"/>
    <w:rsid w:val="00E547EA"/>
    <w:rsid w:val="00E6426B"/>
    <w:rsid w:val="00E810E1"/>
    <w:rsid w:val="00F107CD"/>
    <w:rsid w:val="00F53FE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86A962"/>
  <w15:docId w15:val="{A781F071-8398-46CE-BB78-C3710F4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3024A-F33B-4FA9-B602-91B2F304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2023-12-19T17:17:00Z</dcterms:created>
  <dcterms:modified xsi:type="dcterms:W3CDTF">2023-12-19T17:18:00Z</dcterms:modified>
</cp:coreProperties>
</file>