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0E87" w14:textId="77777777" w:rsidR="002C5411" w:rsidRPr="00404598" w:rsidRDefault="002C5411" w:rsidP="002C5411">
      <w:pPr>
        <w:pStyle w:val="Heading3"/>
        <w:rPr>
          <w:rFonts w:ascii="Avenir" w:hAnsi="Avenir"/>
          <w:sz w:val="24"/>
        </w:rPr>
      </w:pPr>
      <w:r w:rsidRPr="00404598">
        <w:rPr>
          <w:rFonts w:ascii="Avenir" w:hAnsi="Avenir"/>
          <w:sz w:val="24"/>
        </w:rPr>
        <w:t>Purpose</w:t>
      </w:r>
    </w:p>
    <w:p w14:paraId="1FF11A1A" w14:textId="77777777" w:rsidR="00B56A96" w:rsidRDefault="00B56A96" w:rsidP="00B56A96">
      <w:pPr>
        <w:spacing w:after="0" w:line="240" w:lineRule="auto"/>
        <w:rPr>
          <w:rFonts w:ascii="Georgia" w:hAnsi="Georgia"/>
        </w:rPr>
      </w:pPr>
    </w:p>
    <w:p w14:paraId="7F830EBD" w14:textId="77777777" w:rsidR="00562B04" w:rsidRDefault="00562B04" w:rsidP="00B56A96">
      <w:pPr>
        <w:spacing w:after="0" w:line="240" w:lineRule="auto"/>
        <w:rPr>
          <w:rFonts w:ascii="Georgia" w:hAnsi="Georgia"/>
        </w:rPr>
      </w:pPr>
      <w:r w:rsidRPr="006C1E54">
        <w:rPr>
          <w:rFonts w:ascii="Georgia" w:hAnsi="Georgia"/>
        </w:rPr>
        <w:t>To establish standards and a process by which patients are discharged from the hospice program</w:t>
      </w:r>
      <w:r w:rsidR="000A7F1E">
        <w:rPr>
          <w:rFonts w:ascii="Georgia" w:hAnsi="Georgia"/>
        </w:rPr>
        <w:t>, no longer want hospice services and may not meet clinical criteria for hospice</w:t>
      </w:r>
      <w:r w:rsidRPr="006C1E54">
        <w:rPr>
          <w:rFonts w:ascii="Georgia" w:hAnsi="Georgia"/>
        </w:rPr>
        <w:t>.</w:t>
      </w:r>
    </w:p>
    <w:p w14:paraId="61D96ACF" w14:textId="77777777" w:rsidR="00B56A96" w:rsidRPr="006C1E54" w:rsidRDefault="00B56A96" w:rsidP="00B56A96">
      <w:pPr>
        <w:spacing w:after="0" w:line="240" w:lineRule="auto"/>
        <w:rPr>
          <w:rFonts w:ascii="Georgia" w:hAnsi="Georgia"/>
        </w:rPr>
      </w:pPr>
    </w:p>
    <w:p w14:paraId="6CE374AB" w14:textId="77777777" w:rsidR="005F4D1B" w:rsidRPr="00404598" w:rsidRDefault="005F4D1B" w:rsidP="00B56A96">
      <w:pPr>
        <w:pStyle w:val="Heading3"/>
        <w:rPr>
          <w:rFonts w:ascii="Avenir" w:hAnsi="Avenir"/>
          <w:sz w:val="24"/>
        </w:rPr>
      </w:pPr>
      <w:bookmarkStart w:id="0" w:name="_Hlk6578093"/>
      <w:r w:rsidRPr="00404598">
        <w:rPr>
          <w:rFonts w:ascii="Avenir" w:hAnsi="Avenir"/>
          <w:sz w:val="24"/>
        </w:rPr>
        <w:t>Policy</w:t>
      </w:r>
    </w:p>
    <w:bookmarkEnd w:id="0"/>
    <w:p w14:paraId="6CFFAC6B" w14:textId="77777777" w:rsidR="00B56A96" w:rsidRDefault="00B56A96" w:rsidP="00B56A96">
      <w:pPr>
        <w:spacing w:after="0" w:line="240" w:lineRule="auto"/>
        <w:rPr>
          <w:rFonts w:ascii="Georgia" w:hAnsi="Georgia"/>
        </w:rPr>
      </w:pPr>
    </w:p>
    <w:p w14:paraId="27867F15" w14:textId="77777777" w:rsidR="00562B04" w:rsidRDefault="00562B04" w:rsidP="00B56A9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Ohio Living Hospice</w:t>
      </w:r>
      <w:r w:rsidRPr="006C1E54">
        <w:rPr>
          <w:rFonts w:ascii="Georgia" w:hAnsi="Georgia"/>
        </w:rPr>
        <w:t xml:space="preserve"> will provide service to a patient and family/caregiver </w:t>
      </w:r>
      <w:r w:rsidR="00522B80" w:rsidRPr="006C1E54">
        <w:rPr>
          <w:rFonts w:ascii="Georgia" w:hAnsi="Georgia"/>
        </w:rPr>
        <w:t>if</w:t>
      </w:r>
      <w:r w:rsidRPr="006C1E54">
        <w:rPr>
          <w:rFonts w:ascii="Georgia" w:hAnsi="Georgia"/>
        </w:rPr>
        <w:t xml:space="preserve"> the patient remains terminally ill and lives in the designated service area.  </w:t>
      </w:r>
      <w:r w:rsidR="00100497">
        <w:rPr>
          <w:rFonts w:ascii="Georgia" w:hAnsi="Georgia"/>
        </w:rPr>
        <w:t>Ohio Living</w:t>
      </w:r>
      <w:r w:rsidRPr="006C1E54">
        <w:rPr>
          <w:rFonts w:ascii="Georgia" w:hAnsi="Georgia"/>
        </w:rPr>
        <w:t xml:space="preserve"> will not discontinue or reduce care provided to a Medicare or Medicaid beneficiary because of the inability to pay.</w:t>
      </w:r>
    </w:p>
    <w:p w14:paraId="6DC605FE" w14:textId="77777777" w:rsidR="00100497" w:rsidRDefault="00100497" w:rsidP="00B56A96">
      <w:pPr>
        <w:spacing w:after="0" w:line="240" w:lineRule="auto"/>
        <w:rPr>
          <w:rFonts w:ascii="Georgia" w:hAnsi="Georgia"/>
        </w:rPr>
      </w:pPr>
    </w:p>
    <w:p w14:paraId="60E0D868" w14:textId="77777777" w:rsidR="00562B04" w:rsidRPr="006C1E54" w:rsidRDefault="00562B04" w:rsidP="00B56A96">
      <w:pPr>
        <w:pStyle w:val="Heading4"/>
        <w:rPr>
          <w:rFonts w:ascii="Georgia" w:hAnsi="Georgia"/>
          <w:sz w:val="22"/>
          <w:szCs w:val="22"/>
        </w:rPr>
      </w:pPr>
      <w:r w:rsidRPr="006C1E54">
        <w:rPr>
          <w:rFonts w:ascii="Georgia" w:hAnsi="Georgia"/>
          <w:sz w:val="22"/>
          <w:szCs w:val="22"/>
        </w:rPr>
        <w:t>Discharge</w:t>
      </w:r>
      <w:r w:rsidR="00100497">
        <w:rPr>
          <w:rFonts w:ascii="Georgia" w:hAnsi="Georgia"/>
          <w:sz w:val="22"/>
          <w:szCs w:val="22"/>
        </w:rPr>
        <w:t xml:space="preserve"> or Transfer</w:t>
      </w:r>
      <w:r w:rsidRPr="006C1E54">
        <w:rPr>
          <w:rFonts w:ascii="Georgia" w:hAnsi="Georgia"/>
          <w:sz w:val="22"/>
          <w:szCs w:val="22"/>
        </w:rPr>
        <w:t xml:space="preserve"> Criteria</w:t>
      </w:r>
    </w:p>
    <w:p w14:paraId="2CDB06CB" w14:textId="438B459D" w:rsidR="00562B04" w:rsidRDefault="00562B04" w:rsidP="00B56A96">
      <w:pPr>
        <w:pStyle w:val="BodyTextIndent"/>
        <w:numPr>
          <w:ilvl w:val="0"/>
          <w:numId w:val="8"/>
        </w:numPr>
        <w:tabs>
          <w:tab w:val="clear" w:pos="720"/>
        </w:tabs>
        <w:ind w:left="432" w:hanging="432"/>
        <w:rPr>
          <w:rFonts w:ascii="Georgia" w:hAnsi="Georgia"/>
        </w:rPr>
      </w:pPr>
      <w:bookmarkStart w:id="1" w:name="_Hlk8650102"/>
      <w:r w:rsidRPr="006C1E54">
        <w:rPr>
          <w:rFonts w:ascii="Georgia" w:hAnsi="Georgia"/>
        </w:rPr>
        <w:t>The Medical Director</w:t>
      </w:r>
      <w:r w:rsidR="00793720">
        <w:rPr>
          <w:rFonts w:ascii="Georgia" w:hAnsi="Georgia"/>
        </w:rPr>
        <w:t>, nurse practitioner,</w:t>
      </w:r>
      <w:r w:rsidRPr="006C1E54">
        <w:rPr>
          <w:rFonts w:ascii="Georgia" w:hAnsi="Georgia"/>
        </w:rPr>
        <w:t xml:space="preserve"> and/or attending physician </w:t>
      </w:r>
      <w:r w:rsidR="00793720">
        <w:rPr>
          <w:rFonts w:ascii="Georgia" w:hAnsi="Georgia"/>
        </w:rPr>
        <w:t>have</w:t>
      </w:r>
      <w:r w:rsidRPr="006C1E54">
        <w:rPr>
          <w:rFonts w:ascii="Georgia" w:hAnsi="Georgia"/>
        </w:rPr>
        <w:t xml:space="preserve"> determine</w:t>
      </w:r>
      <w:r w:rsidR="00793720">
        <w:rPr>
          <w:rFonts w:ascii="Georgia" w:hAnsi="Georgia"/>
        </w:rPr>
        <w:t>d</w:t>
      </w:r>
      <w:r w:rsidRPr="006C1E54">
        <w:rPr>
          <w:rFonts w:ascii="Georgia" w:hAnsi="Georgia"/>
        </w:rPr>
        <w:t xml:space="preserve"> the patient is no</w:t>
      </w:r>
      <w:r w:rsidR="00793720">
        <w:rPr>
          <w:rFonts w:ascii="Georgia" w:hAnsi="Georgia"/>
        </w:rPr>
        <w:t xml:space="preserve"> longer</w:t>
      </w:r>
      <w:r w:rsidRPr="006C1E54">
        <w:rPr>
          <w:rFonts w:ascii="Georgia" w:hAnsi="Georgia"/>
        </w:rPr>
        <w:t xml:space="preserve"> hospice-appropriate according to standard clinical criteria </w:t>
      </w:r>
      <w:r w:rsidR="00317EFB" w:rsidRPr="006C1E54">
        <w:rPr>
          <w:rFonts w:ascii="Georgia" w:hAnsi="Georgia"/>
        </w:rPr>
        <w:t xml:space="preserve">for </w:t>
      </w:r>
      <w:r w:rsidR="00317EFB">
        <w:rPr>
          <w:rFonts w:ascii="Georgia" w:hAnsi="Georgia"/>
        </w:rPr>
        <w:t>a</w:t>
      </w:r>
      <w:r w:rsidR="00793720">
        <w:rPr>
          <w:rFonts w:ascii="Georgia" w:hAnsi="Georgia"/>
        </w:rPr>
        <w:t xml:space="preserve"> terminal</w:t>
      </w:r>
      <w:r w:rsidRPr="006C1E54">
        <w:rPr>
          <w:rFonts w:ascii="Georgia" w:hAnsi="Georgia"/>
        </w:rPr>
        <w:t xml:space="preserve"> disease prognosis of six (6) months or less.</w:t>
      </w:r>
    </w:p>
    <w:p w14:paraId="69A05AA2" w14:textId="77777777" w:rsidR="000A7F1E" w:rsidRPr="006C1E54" w:rsidRDefault="000A7F1E" w:rsidP="00B56A96">
      <w:pPr>
        <w:pStyle w:val="BodyTextIndent"/>
        <w:numPr>
          <w:ilvl w:val="0"/>
          <w:numId w:val="8"/>
        </w:numPr>
        <w:tabs>
          <w:tab w:val="clear" w:pos="720"/>
        </w:tabs>
        <w:ind w:left="432" w:hanging="432"/>
        <w:rPr>
          <w:rFonts w:ascii="Georgia" w:hAnsi="Georgia"/>
        </w:rPr>
      </w:pPr>
      <w:r>
        <w:rPr>
          <w:rFonts w:ascii="Georgia" w:hAnsi="Georgia"/>
        </w:rPr>
        <w:t>The patient’s needs cannot be met by</w:t>
      </w:r>
      <w:r w:rsidR="00804817">
        <w:rPr>
          <w:rFonts w:ascii="Georgia" w:hAnsi="Georgia"/>
        </w:rPr>
        <w:t xml:space="preserve"> Ohio Living Hospice.</w:t>
      </w:r>
    </w:p>
    <w:bookmarkEnd w:id="1"/>
    <w:p w14:paraId="47C1DE3B" w14:textId="77777777" w:rsidR="00562B04" w:rsidRPr="006C1E54" w:rsidRDefault="00562B04" w:rsidP="00B56A96">
      <w:pPr>
        <w:pStyle w:val="BodyTextIndent"/>
        <w:numPr>
          <w:ilvl w:val="0"/>
          <w:numId w:val="8"/>
        </w:numPr>
        <w:tabs>
          <w:tab w:val="clear" w:pos="720"/>
        </w:tabs>
        <w:ind w:left="432" w:hanging="432"/>
        <w:rPr>
          <w:rFonts w:ascii="Georgia" w:hAnsi="Georgia"/>
        </w:rPr>
      </w:pPr>
      <w:r w:rsidRPr="006C1E54">
        <w:rPr>
          <w:rFonts w:ascii="Georgia" w:hAnsi="Georgia"/>
        </w:rPr>
        <w:t xml:space="preserve">Patient leaves service area of </w:t>
      </w:r>
      <w:r w:rsidR="00522B80">
        <w:rPr>
          <w:rFonts w:ascii="Georgia" w:hAnsi="Georgia"/>
        </w:rPr>
        <w:t>Ohio Living hospice</w:t>
      </w:r>
      <w:r w:rsidRPr="006C1E54">
        <w:rPr>
          <w:rFonts w:ascii="Georgia" w:hAnsi="Georgia"/>
        </w:rPr>
        <w:t xml:space="preserve"> or transfers to another hospice.</w:t>
      </w:r>
    </w:p>
    <w:p w14:paraId="73774E0E" w14:textId="508B8E61" w:rsidR="00562B04" w:rsidRPr="006176FB" w:rsidRDefault="00562B04" w:rsidP="00B56A96">
      <w:pPr>
        <w:pStyle w:val="BodyTextIndent"/>
        <w:numPr>
          <w:ilvl w:val="0"/>
          <w:numId w:val="8"/>
        </w:numPr>
        <w:tabs>
          <w:tab w:val="clear" w:pos="720"/>
        </w:tabs>
        <w:ind w:left="432" w:hanging="432"/>
        <w:rPr>
          <w:rFonts w:ascii="Georgia" w:hAnsi="Georgia"/>
        </w:rPr>
      </w:pPr>
      <w:r w:rsidRPr="006176FB">
        <w:rPr>
          <w:rFonts w:ascii="Georgia" w:hAnsi="Georgia"/>
        </w:rPr>
        <w:t>Environment is determined to be unsafe for the patient and/or staff</w:t>
      </w:r>
      <w:r w:rsidR="00793720" w:rsidRPr="006176FB">
        <w:rPr>
          <w:rFonts w:ascii="Georgia" w:hAnsi="Georgia"/>
        </w:rPr>
        <w:t xml:space="preserve"> (Discharge for Cause)</w:t>
      </w:r>
    </w:p>
    <w:p w14:paraId="42FA5A02" w14:textId="21F98BF0" w:rsidR="00562B04" w:rsidRDefault="00562B04" w:rsidP="00B56A96">
      <w:pPr>
        <w:pStyle w:val="BodyTextIndent"/>
        <w:numPr>
          <w:ilvl w:val="0"/>
          <w:numId w:val="8"/>
        </w:numPr>
        <w:tabs>
          <w:tab w:val="clear" w:pos="720"/>
        </w:tabs>
        <w:ind w:left="432" w:hanging="432"/>
        <w:rPr>
          <w:rFonts w:ascii="Georgia" w:hAnsi="Georgia"/>
        </w:rPr>
      </w:pPr>
      <w:r w:rsidRPr="006C1E54">
        <w:rPr>
          <w:rFonts w:ascii="Georgia" w:hAnsi="Georgia"/>
        </w:rPr>
        <w:t>The patient and family/caregiver request discharge</w:t>
      </w:r>
      <w:r w:rsidR="00567674">
        <w:rPr>
          <w:rFonts w:ascii="Georgia" w:hAnsi="Georgia"/>
        </w:rPr>
        <w:t xml:space="preserve"> (revocation/revokes)</w:t>
      </w:r>
      <w:r w:rsidRPr="006C1E54">
        <w:rPr>
          <w:rFonts w:ascii="Georgia" w:hAnsi="Georgia"/>
        </w:rPr>
        <w:t>.</w:t>
      </w:r>
    </w:p>
    <w:p w14:paraId="124FE9CB" w14:textId="77777777" w:rsidR="006176FB" w:rsidRDefault="006176FB" w:rsidP="00B56A96">
      <w:pPr>
        <w:pStyle w:val="Heading3"/>
        <w:rPr>
          <w:rFonts w:ascii="Avenir" w:hAnsi="Avenir"/>
          <w:sz w:val="24"/>
        </w:rPr>
      </w:pPr>
    </w:p>
    <w:p w14:paraId="439EA85A" w14:textId="42CECB09" w:rsidR="00D927EC" w:rsidRPr="00404598" w:rsidRDefault="00D927EC" w:rsidP="00B56A96">
      <w:pPr>
        <w:pStyle w:val="Heading3"/>
        <w:rPr>
          <w:rFonts w:ascii="Avenir" w:hAnsi="Avenir"/>
          <w:sz w:val="24"/>
        </w:rPr>
      </w:pPr>
      <w:r w:rsidRPr="00404598">
        <w:rPr>
          <w:rFonts w:ascii="Avenir" w:hAnsi="Avenir"/>
          <w:sz w:val="24"/>
        </w:rPr>
        <w:t>PRocEDURE</w:t>
      </w:r>
    </w:p>
    <w:p w14:paraId="38AD5398" w14:textId="77777777" w:rsidR="00B56A96" w:rsidRDefault="00B56A96" w:rsidP="00B56A96">
      <w:pPr>
        <w:pStyle w:val="BodyTextIndent"/>
        <w:ind w:left="360" w:firstLine="0"/>
        <w:rPr>
          <w:rFonts w:ascii="Georgia" w:hAnsi="Georgia"/>
        </w:rPr>
      </w:pPr>
    </w:p>
    <w:p w14:paraId="6C6CD252" w14:textId="77777777" w:rsidR="00D97827" w:rsidRDefault="00D97827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>
        <w:rPr>
          <w:rFonts w:ascii="Georgia" w:hAnsi="Georgia"/>
        </w:rPr>
        <w:t>If the</w:t>
      </w:r>
      <w:r w:rsidRPr="006C1E54">
        <w:rPr>
          <w:rFonts w:ascii="Georgia" w:hAnsi="Georgia"/>
        </w:rPr>
        <w:t xml:space="preserve"> Medical Director and/or attending physician determine</w:t>
      </w:r>
      <w:r>
        <w:rPr>
          <w:rFonts w:ascii="Georgia" w:hAnsi="Georgia"/>
        </w:rPr>
        <w:t>s</w:t>
      </w:r>
      <w:r w:rsidRPr="006C1E54">
        <w:rPr>
          <w:rFonts w:ascii="Georgia" w:hAnsi="Georgia"/>
        </w:rPr>
        <w:t xml:space="preserve"> the patient is not hospice-appropriate according to standard clinical criteria for determining disease prognosis of six (6) months or less</w:t>
      </w:r>
      <w:r w:rsidR="00C33BE5">
        <w:rPr>
          <w:rFonts w:ascii="Georgia" w:hAnsi="Georgia"/>
        </w:rPr>
        <w:t>:</w:t>
      </w:r>
      <w:r w:rsidR="000A7F1E">
        <w:rPr>
          <w:rFonts w:ascii="Georgia" w:hAnsi="Georgia"/>
        </w:rPr>
        <w:t xml:space="preserve"> </w:t>
      </w:r>
    </w:p>
    <w:p w14:paraId="25CD8768" w14:textId="77777777" w:rsidR="00562B04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 xml:space="preserve">The </w:t>
      </w:r>
      <w:r w:rsidRPr="006C1E54">
        <w:rPr>
          <w:rFonts w:ascii="Georgia" w:hAnsi="Georgia"/>
        </w:rPr>
        <w:t>hospice interdisciplinary group will develop a discharge plan.</w:t>
      </w:r>
    </w:p>
    <w:p w14:paraId="58D05EBF" w14:textId="77777777" w:rsidR="00BF4D51" w:rsidRDefault="00BF4D51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>the patient may be referred to other agencies (such as a home health or private duty agency) and/or services (such as Meals on Wheels, adult day care, etc.).</w:t>
      </w:r>
    </w:p>
    <w:p w14:paraId="4CCFA78B" w14:textId="2E4AB72C" w:rsidR="00BF4D51" w:rsidRDefault="00BF4D51" w:rsidP="00241249">
      <w:pPr>
        <w:pStyle w:val="BodyTextIndent"/>
        <w:numPr>
          <w:ilvl w:val="2"/>
          <w:numId w:val="14"/>
        </w:numPr>
        <w:rPr>
          <w:rFonts w:ascii="Georgia" w:hAnsi="Georgia"/>
        </w:rPr>
      </w:pPr>
      <w:r w:rsidRPr="00C33BE5">
        <w:rPr>
          <w:rFonts w:ascii="Georgia" w:hAnsi="Georgia"/>
        </w:rPr>
        <w:t xml:space="preserve">Patients always have the right to choose their own providers for services. </w:t>
      </w:r>
    </w:p>
    <w:p w14:paraId="0361CE1B" w14:textId="78FDBD3B" w:rsidR="00241249" w:rsidRPr="006176FB" w:rsidRDefault="00241249" w:rsidP="00317EFB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6176FB">
        <w:rPr>
          <w:rFonts w:ascii="Georgia" w:hAnsi="Georgia"/>
        </w:rPr>
        <w:lastRenderedPageBreak/>
        <w:t xml:space="preserve">The Notice of Medicare </w:t>
      </w:r>
      <w:r w:rsidR="00317EFB" w:rsidRPr="006176FB">
        <w:rPr>
          <w:rFonts w:ascii="Georgia" w:hAnsi="Georgia"/>
        </w:rPr>
        <w:t>Noncoverage</w:t>
      </w:r>
      <w:r w:rsidRPr="006176FB">
        <w:rPr>
          <w:rFonts w:ascii="Georgia" w:hAnsi="Georgia"/>
        </w:rPr>
        <w:t xml:space="preserve"> form should be provided to the patient and/or caregiver and time will be allowed for appeal prior to discharge </w:t>
      </w:r>
      <w:r w:rsidR="007B3248" w:rsidRPr="006176FB">
        <w:rPr>
          <w:rFonts w:ascii="Georgia" w:hAnsi="Georgia"/>
        </w:rPr>
        <w:t>at a minimum of 48 hours.</w:t>
      </w:r>
    </w:p>
    <w:p w14:paraId="32E30502" w14:textId="77777777" w:rsidR="00BF4D51" w:rsidRDefault="00BF4D51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 w:rsidRPr="006C1E54">
        <w:rPr>
          <w:rFonts w:ascii="Georgia" w:hAnsi="Georgia"/>
        </w:rPr>
        <w:t>The Case Manager will ensure that necessary paperwork is completed at the time of discharge</w:t>
      </w:r>
      <w:r>
        <w:rPr>
          <w:rFonts w:ascii="Georgia" w:hAnsi="Georgia"/>
        </w:rPr>
        <w:t xml:space="preserve"> or transfer</w:t>
      </w:r>
      <w:r w:rsidRPr="006C1E54">
        <w:rPr>
          <w:rFonts w:ascii="Georgia" w:hAnsi="Georgia"/>
        </w:rPr>
        <w:t xml:space="preserve">.  This </w:t>
      </w:r>
      <w:r>
        <w:rPr>
          <w:rFonts w:ascii="Georgia" w:hAnsi="Georgia"/>
        </w:rPr>
        <w:t>may</w:t>
      </w:r>
      <w:r w:rsidRPr="006C1E54">
        <w:rPr>
          <w:rFonts w:ascii="Georgia" w:hAnsi="Georgia"/>
        </w:rPr>
        <w:t xml:space="preserve"> include a signed revocation form, </w:t>
      </w:r>
      <w:r w:rsidR="00C33BE5">
        <w:rPr>
          <w:rFonts w:ascii="Georgia" w:hAnsi="Georgia"/>
        </w:rPr>
        <w:t>or a request to transfer form,</w:t>
      </w:r>
      <w:r w:rsidR="000E0535">
        <w:rPr>
          <w:rFonts w:ascii="Georgia" w:hAnsi="Georgia"/>
        </w:rPr>
        <w:t xml:space="preserve"> </w:t>
      </w:r>
      <w:r w:rsidRPr="006C1E54">
        <w:rPr>
          <w:rFonts w:ascii="Georgia" w:hAnsi="Georgia"/>
        </w:rPr>
        <w:t>if necessary, and a written physician order to discharge, if appropriate.</w:t>
      </w:r>
    </w:p>
    <w:p w14:paraId="4A43F877" w14:textId="77777777" w:rsidR="001754C6" w:rsidRDefault="00562B04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 w:rsidRPr="006C1E54">
        <w:rPr>
          <w:rFonts w:ascii="Georgia" w:hAnsi="Georgia"/>
        </w:rPr>
        <w:t>When a patient is transferred</w:t>
      </w:r>
      <w:r w:rsidR="00E056E4">
        <w:rPr>
          <w:rFonts w:ascii="Georgia" w:hAnsi="Georgia"/>
        </w:rPr>
        <w:t xml:space="preserve"> </w:t>
      </w:r>
      <w:r w:rsidRPr="006C1E54">
        <w:rPr>
          <w:rFonts w:ascii="Georgia" w:hAnsi="Georgia"/>
        </w:rPr>
        <w:t>or referred to another organization, relevant information will include:</w:t>
      </w:r>
    </w:p>
    <w:p w14:paraId="2C9FC5CC" w14:textId="77777777" w:rsidR="001754C6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1754C6">
        <w:rPr>
          <w:rFonts w:ascii="Georgia" w:hAnsi="Georgia"/>
        </w:rPr>
        <w:t>Reason for transfer or discharge</w:t>
      </w:r>
    </w:p>
    <w:p w14:paraId="0873F16A" w14:textId="77777777" w:rsidR="00E056E4" w:rsidRPr="00E056E4" w:rsidRDefault="0056767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>Hospice discharge summary</w:t>
      </w:r>
      <w:r w:rsidR="00E056E4">
        <w:rPr>
          <w:rFonts w:ascii="Georgia" w:hAnsi="Georgia"/>
        </w:rPr>
        <w:t>, which includes</w:t>
      </w:r>
      <w:r w:rsidR="00E056E4" w:rsidRPr="00E056E4">
        <w:rPr>
          <w:rFonts w:ascii="Georgia" w:hAnsi="Georgia"/>
        </w:rPr>
        <w:t xml:space="preserve"> a</w:t>
      </w:r>
      <w:r w:rsidR="00E056E4" w:rsidRPr="00E056E4">
        <w:rPr>
          <w:rFonts w:ascii="Georgia" w:hAnsi="Georgia"/>
          <w:color w:val="333333"/>
          <w:shd w:val="clear" w:color="auto" w:fill="F5F5F5"/>
        </w:rPr>
        <w:t xml:space="preserve"> </w:t>
      </w:r>
      <w:r w:rsidR="00E056E4" w:rsidRPr="00404598">
        <w:rPr>
          <w:rFonts w:ascii="Georgia" w:hAnsi="Georgia"/>
        </w:rPr>
        <w:t>summary of the patient's stay including treatments, symptoms, and pain management</w:t>
      </w:r>
    </w:p>
    <w:p w14:paraId="63011BDD" w14:textId="77777777" w:rsidR="001754C6" w:rsidRDefault="0056767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>T</w:t>
      </w:r>
      <w:r w:rsidR="00562B04" w:rsidRPr="001754C6">
        <w:rPr>
          <w:rFonts w:ascii="Georgia" w:hAnsi="Georgia"/>
        </w:rPr>
        <w:t>he current plan of care</w:t>
      </w:r>
    </w:p>
    <w:p w14:paraId="3C96DB81" w14:textId="77777777" w:rsidR="001754C6" w:rsidRDefault="0056767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>Current med</w:t>
      </w:r>
      <w:r w:rsidR="00562B04" w:rsidRPr="001754C6">
        <w:rPr>
          <w:rFonts w:ascii="Georgia" w:hAnsi="Georgia"/>
        </w:rPr>
        <w:t>ication</w:t>
      </w:r>
      <w:r>
        <w:rPr>
          <w:rFonts w:ascii="Georgia" w:hAnsi="Georgia"/>
        </w:rPr>
        <w:t>s</w:t>
      </w:r>
    </w:p>
    <w:p w14:paraId="026FC520" w14:textId="77777777" w:rsidR="001754C6" w:rsidRDefault="001754C6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 xml:space="preserve">Current </w:t>
      </w:r>
      <w:r w:rsidR="00562B04" w:rsidRPr="001754C6">
        <w:rPr>
          <w:rFonts w:ascii="Georgia" w:hAnsi="Georgia"/>
        </w:rPr>
        <w:t>physician orders</w:t>
      </w:r>
    </w:p>
    <w:p w14:paraId="14EA0743" w14:textId="77777777" w:rsidR="001754C6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1754C6">
        <w:rPr>
          <w:rFonts w:ascii="Georgia" w:hAnsi="Georgia"/>
        </w:rPr>
        <w:t>Continuing symptom management needs, e.g., pain, nausea, dyspnea</w:t>
      </w:r>
    </w:p>
    <w:p w14:paraId="71255661" w14:textId="77777777" w:rsidR="001754C6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1754C6">
        <w:rPr>
          <w:rFonts w:ascii="Georgia" w:hAnsi="Georgia"/>
        </w:rPr>
        <w:t>All pertinent laboratory data</w:t>
      </w:r>
    </w:p>
    <w:p w14:paraId="406FAB31" w14:textId="77777777" w:rsidR="001754C6" w:rsidRDefault="0056767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>
        <w:rPr>
          <w:rFonts w:ascii="Georgia" w:hAnsi="Georgia"/>
        </w:rPr>
        <w:t>Any other documentation that will assist in post discharge continuity of care or that is requested by the attending physician or receiving agency/facility</w:t>
      </w:r>
    </w:p>
    <w:p w14:paraId="17075CA2" w14:textId="77777777" w:rsidR="001754C6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1754C6">
        <w:rPr>
          <w:rFonts w:ascii="Georgia" w:hAnsi="Georgia"/>
        </w:rPr>
        <w:t>Existence of any Advance Directives, if applicable</w:t>
      </w:r>
    </w:p>
    <w:p w14:paraId="10796090" w14:textId="77777777" w:rsidR="00E056E4" w:rsidRDefault="00E056E4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>
        <w:rPr>
          <w:rFonts w:ascii="Georgia" w:hAnsi="Georgia"/>
        </w:rPr>
        <w:t xml:space="preserve">If a patient revokes the election of hospice care or is discharged from hospice, a copy of the hospice discharge summary and any other requested information is sent to the attending physician. </w:t>
      </w:r>
    </w:p>
    <w:p w14:paraId="1B7A2026" w14:textId="1AAEF23B" w:rsidR="00E97FB9" w:rsidRDefault="00562B04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 w:rsidRPr="006C1E54">
        <w:rPr>
          <w:rFonts w:ascii="Georgia" w:hAnsi="Georgia"/>
        </w:rPr>
        <w:t xml:space="preserve">If the environment is determined unsafe for the patient and/or staff, the following steps </w:t>
      </w:r>
      <w:r w:rsidR="00793720">
        <w:rPr>
          <w:rFonts w:ascii="Georgia" w:hAnsi="Georgia"/>
        </w:rPr>
        <w:t>should</w:t>
      </w:r>
      <w:r w:rsidRPr="006C1E54">
        <w:rPr>
          <w:rFonts w:ascii="Georgia" w:hAnsi="Georgia"/>
        </w:rPr>
        <w:t xml:space="preserve"> be taken</w:t>
      </w:r>
      <w:r w:rsidR="00793720">
        <w:rPr>
          <w:rFonts w:ascii="Georgia" w:hAnsi="Georgia"/>
        </w:rPr>
        <w:t xml:space="preserve"> prior to discharge for cause</w:t>
      </w:r>
      <w:r w:rsidRPr="006C1E54">
        <w:rPr>
          <w:rFonts w:ascii="Georgia" w:hAnsi="Georgia"/>
        </w:rPr>
        <w:t>:</w:t>
      </w:r>
    </w:p>
    <w:p w14:paraId="37300F3F" w14:textId="77777777" w:rsidR="00E97FB9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E97FB9">
        <w:rPr>
          <w:rFonts w:ascii="Georgia" w:hAnsi="Georgia"/>
        </w:rPr>
        <w:t>Provide written recommendations to patient and family/caregiver and physician to resolve unsafe situation.</w:t>
      </w:r>
    </w:p>
    <w:p w14:paraId="49C5BBA1" w14:textId="77777777" w:rsidR="00E97FB9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E97FB9">
        <w:rPr>
          <w:rFonts w:ascii="Georgia" w:hAnsi="Georgia"/>
        </w:rPr>
        <w:t>Refer to social worker for assistance with placement planning.</w:t>
      </w:r>
    </w:p>
    <w:p w14:paraId="41BBDDDD" w14:textId="77777777" w:rsidR="00E97FB9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E97FB9">
        <w:rPr>
          <w:rFonts w:ascii="Georgia" w:hAnsi="Georgia"/>
        </w:rPr>
        <w:t>Consider referrals to other agencies.</w:t>
      </w:r>
    </w:p>
    <w:p w14:paraId="60613DCE" w14:textId="07CC12DD" w:rsidR="00793720" w:rsidRDefault="00562B04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E97FB9">
        <w:rPr>
          <w:rFonts w:ascii="Georgia" w:hAnsi="Georgia"/>
        </w:rPr>
        <w:t xml:space="preserve">A formal letter </w:t>
      </w:r>
      <w:r w:rsidR="00BF4D51">
        <w:rPr>
          <w:rFonts w:ascii="Georgia" w:hAnsi="Georgia"/>
        </w:rPr>
        <w:t xml:space="preserve">may </w:t>
      </w:r>
      <w:r w:rsidRPr="00E97FB9">
        <w:rPr>
          <w:rFonts w:ascii="Georgia" w:hAnsi="Georgia"/>
        </w:rPr>
        <w:t xml:space="preserve">be provided to the patient and/or his/her representative that includes the organization’s concern, recommendations, consequences if concerns are not resolved, and </w:t>
      </w:r>
      <w:r w:rsidR="00793720">
        <w:rPr>
          <w:rFonts w:ascii="Georgia" w:hAnsi="Georgia"/>
        </w:rPr>
        <w:t xml:space="preserve">the potential for discharge from </w:t>
      </w:r>
      <w:r w:rsidR="00317EFB">
        <w:rPr>
          <w:rFonts w:ascii="Georgia" w:hAnsi="Georgia"/>
        </w:rPr>
        <w:t>Hospice.</w:t>
      </w:r>
      <w:r w:rsidRPr="00E97FB9">
        <w:rPr>
          <w:rFonts w:ascii="Georgia" w:hAnsi="Georgia"/>
        </w:rPr>
        <w:t xml:space="preserve"> </w:t>
      </w:r>
    </w:p>
    <w:p w14:paraId="5F3B40F9" w14:textId="3C8F4E4F" w:rsidR="00804817" w:rsidRPr="006176FB" w:rsidRDefault="00793720" w:rsidP="00B56A96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6176FB">
        <w:rPr>
          <w:rFonts w:ascii="Georgia" w:hAnsi="Georgia"/>
        </w:rPr>
        <w:t xml:space="preserve">If attempts to resolve the patient’s environment are unsuccessful, the Hospice Medical Director, and attending physician, if any, will be </w:t>
      </w:r>
      <w:r w:rsidR="00241249" w:rsidRPr="006176FB">
        <w:rPr>
          <w:rFonts w:ascii="Georgia" w:hAnsi="Georgia"/>
        </w:rPr>
        <w:t>consulted</w:t>
      </w:r>
      <w:r w:rsidRPr="006176FB">
        <w:rPr>
          <w:rFonts w:ascii="Georgia" w:hAnsi="Georgia"/>
        </w:rPr>
        <w:t>.  An order for discharge will be obtained</w:t>
      </w:r>
      <w:r w:rsidR="00241249" w:rsidRPr="006176FB">
        <w:rPr>
          <w:rFonts w:ascii="Georgia" w:hAnsi="Georgia"/>
        </w:rPr>
        <w:t xml:space="preserve"> if </w:t>
      </w:r>
      <w:r w:rsidR="00317EFB" w:rsidRPr="006176FB">
        <w:rPr>
          <w:rFonts w:ascii="Georgia" w:hAnsi="Georgia"/>
        </w:rPr>
        <w:t>necessary</w:t>
      </w:r>
      <w:r w:rsidRPr="006176FB">
        <w:rPr>
          <w:rFonts w:ascii="Georgia" w:hAnsi="Georgia"/>
        </w:rPr>
        <w:t>.</w:t>
      </w:r>
      <w:r w:rsidR="00562B04" w:rsidRPr="006176FB">
        <w:rPr>
          <w:rFonts w:ascii="Georgia" w:hAnsi="Georgia"/>
        </w:rPr>
        <w:t xml:space="preserve"> </w:t>
      </w:r>
    </w:p>
    <w:p w14:paraId="3F4AB80C" w14:textId="22558B05" w:rsidR="00241249" w:rsidRPr="006176FB" w:rsidRDefault="00241249" w:rsidP="00317EFB">
      <w:pPr>
        <w:pStyle w:val="BodyTextIndent"/>
        <w:numPr>
          <w:ilvl w:val="1"/>
          <w:numId w:val="14"/>
        </w:numPr>
        <w:rPr>
          <w:rFonts w:ascii="Georgia" w:hAnsi="Georgia"/>
        </w:rPr>
      </w:pPr>
      <w:r w:rsidRPr="006176FB">
        <w:rPr>
          <w:rFonts w:ascii="Georgia" w:hAnsi="Georgia"/>
        </w:rPr>
        <w:t xml:space="preserve">The Notice of Medicare </w:t>
      </w:r>
      <w:r w:rsidR="00317EFB" w:rsidRPr="006176FB">
        <w:rPr>
          <w:rFonts w:ascii="Georgia" w:hAnsi="Georgia"/>
        </w:rPr>
        <w:t>Noncoverage</w:t>
      </w:r>
      <w:r w:rsidRPr="006176FB">
        <w:rPr>
          <w:rFonts w:ascii="Georgia" w:hAnsi="Georgia"/>
        </w:rPr>
        <w:t xml:space="preserve"> form should be provided to the patient and/or caregiver and time will be allowed for appeal prior to discharge </w:t>
      </w:r>
      <w:r w:rsidR="007B3248" w:rsidRPr="006176FB">
        <w:rPr>
          <w:rFonts w:ascii="Georgia" w:hAnsi="Georgia"/>
        </w:rPr>
        <w:t>at a minimum of 48 hours.</w:t>
      </w:r>
    </w:p>
    <w:p w14:paraId="4C44A3B5" w14:textId="0BB883E7" w:rsidR="00562B04" w:rsidRDefault="00562B04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 w:rsidRPr="006C1E54">
        <w:rPr>
          <w:rFonts w:ascii="Georgia" w:hAnsi="Georgia"/>
        </w:rPr>
        <w:t>A copy of the discharge summary will be sent to the attending physician</w:t>
      </w:r>
      <w:r w:rsidR="007B3248">
        <w:rPr>
          <w:rFonts w:ascii="Georgia" w:hAnsi="Georgia"/>
        </w:rPr>
        <w:t>.</w:t>
      </w:r>
    </w:p>
    <w:p w14:paraId="00493445" w14:textId="77777777" w:rsidR="00562B04" w:rsidRPr="006C1E54" w:rsidRDefault="00562B04" w:rsidP="00B56A96">
      <w:pPr>
        <w:pStyle w:val="BodyTextIndent"/>
        <w:numPr>
          <w:ilvl w:val="0"/>
          <w:numId w:val="14"/>
        </w:numPr>
        <w:ind w:left="360"/>
        <w:rPr>
          <w:rFonts w:ascii="Georgia" w:hAnsi="Georgia"/>
        </w:rPr>
      </w:pPr>
      <w:r w:rsidRPr="006C1E54">
        <w:rPr>
          <w:rFonts w:ascii="Georgia" w:hAnsi="Georgia"/>
        </w:rPr>
        <w:t>The Notice of Termination/Revocation (NOTR) will be submitted to the MAC within 5 days of the discharge.</w:t>
      </w:r>
    </w:p>
    <w:p w14:paraId="1366E28F" w14:textId="77777777" w:rsidR="00D927EC" w:rsidRDefault="00D927EC" w:rsidP="00B56A96">
      <w:pPr>
        <w:pStyle w:val="Heading3"/>
        <w:rPr>
          <w:rFonts w:ascii="Avenir" w:hAnsi="Avenir"/>
          <w:caps w:val="0"/>
          <w:sz w:val="22"/>
        </w:rPr>
      </w:pPr>
    </w:p>
    <w:sectPr w:rsidR="00D927EC" w:rsidSect="00182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BC04" w14:textId="77777777" w:rsidR="00391E58" w:rsidRDefault="00391E58" w:rsidP="00004886">
      <w:pPr>
        <w:spacing w:after="0" w:line="240" w:lineRule="auto"/>
      </w:pPr>
      <w:r>
        <w:separator/>
      </w:r>
    </w:p>
  </w:endnote>
  <w:endnote w:type="continuationSeparator" w:id="0">
    <w:p w14:paraId="0FF64323" w14:textId="77777777" w:rsidR="00391E58" w:rsidRDefault="00391E58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-807704652"/>
      <w:docPartObj>
        <w:docPartGallery w:val="Page Numbers (Top of Page)"/>
        <w:docPartUnique/>
      </w:docPartObj>
    </w:sdtPr>
    <w:sdtEndPr/>
    <w:sdtContent>
      <w:p w14:paraId="781F153A" w14:textId="77777777" w:rsidR="000E0535" w:rsidRPr="000E0535" w:rsidRDefault="000E0535" w:rsidP="000E0535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89CF3CD" w14:textId="77777777" w:rsidR="003A605C" w:rsidRPr="000E0535" w:rsidRDefault="003A605C" w:rsidP="000E0535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BCEA" w14:textId="77777777" w:rsidR="00432F83" w:rsidRDefault="00432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E30DC" w14:textId="77777777" w:rsidR="00391E58" w:rsidRDefault="00391E58" w:rsidP="00004886">
      <w:pPr>
        <w:spacing w:after="0" w:line="240" w:lineRule="auto"/>
      </w:pPr>
      <w:r>
        <w:separator/>
      </w:r>
    </w:p>
  </w:footnote>
  <w:footnote w:type="continuationSeparator" w:id="0">
    <w:p w14:paraId="34928B18" w14:textId="77777777" w:rsidR="00391E58" w:rsidRDefault="00391E58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DF70" w14:textId="77777777" w:rsidR="00432F83" w:rsidRDefault="00432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D0BA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1221FA" wp14:editId="1FAE3EFA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E603D" w14:textId="77777777"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</w:t>
                          </w:r>
                          <w:r w:rsidR="00282429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ospice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1221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091E603D" w14:textId="77777777"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</w:t>
                    </w:r>
                    <w:r w:rsidR="00282429">
                      <w:rPr>
                        <w:rFonts w:ascii="Avenir" w:hAnsi="Avenir"/>
                        <w:sz w:val="32"/>
                        <w:szCs w:val="32"/>
                      </w:rPr>
                      <w:t xml:space="preserve">ospice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7AB2B769" wp14:editId="353338FF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120"/>
      <w:gridCol w:w="3118"/>
    </w:tblGrid>
    <w:tr w:rsidR="0018228C" w:rsidRPr="00004886" w14:paraId="40B20045" w14:textId="77777777" w:rsidTr="0018228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EB35432" w14:textId="77777777" w:rsidR="0018228C" w:rsidRPr="0091763A" w:rsidRDefault="0018228C" w:rsidP="0018228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8228C" w:rsidRPr="000B2666" w14:paraId="17C9199D" w14:textId="77777777" w:rsidTr="0018228C">
      <w:trPr>
        <w:trHeight w:val="432"/>
      </w:trPr>
      <w:tc>
        <w:tcPr>
          <w:tcW w:w="9350" w:type="dxa"/>
          <w:gridSpan w:val="3"/>
          <w:vAlign w:val="center"/>
        </w:tcPr>
        <w:p w14:paraId="07C12585" w14:textId="77777777" w:rsidR="0018228C" w:rsidRPr="000B2666" w:rsidRDefault="0018228C" w:rsidP="0018228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Hospice Transfer and Discharge</w:t>
          </w:r>
        </w:p>
      </w:tc>
    </w:tr>
    <w:tr w:rsidR="00017F74" w:rsidRPr="00004886" w14:paraId="1418E203" w14:textId="77777777" w:rsidTr="0018228C">
      <w:tc>
        <w:tcPr>
          <w:tcW w:w="3112" w:type="dxa"/>
          <w:shd w:val="clear" w:color="auto" w:fill="D9D9D9" w:themeFill="background1" w:themeFillShade="D9"/>
        </w:tcPr>
        <w:p w14:paraId="18E85BA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510D15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113AB40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51F38DB2" w14:textId="77777777" w:rsidTr="0018228C">
      <w:tc>
        <w:tcPr>
          <w:tcW w:w="3112" w:type="dxa"/>
        </w:tcPr>
        <w:p w14:paraId="19A3376D" w14:textId="77777777" w:rsidR="00017F74" w:rsidRPr="00383057" w:rsidRDefault="00B56A96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5921C21" w14:textId="3D57C416" w:rsidR="00017F74" w:rsidRPr="00383057" w:rsidRDefault="00432F8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07/01/2024</w:t>
          </w:r>
        </w:p>
      </w:tc>
      <w:tc>
        <w:tcPr>
          <w:tcW w:w="3118" w:type="dxa"/>
        </w:tcPr>
        <w:p w14:paraId="714DD50F" w14:textId="789126C4" w:rsidR="00017F74" w:rsidRPr="00383057" w:rsidRDefault="00432F8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07/01/2026</w:t>
          </w:r>
        </w:p>
      </w:tc>
    </w:tr>
    <w:tr w:rsidR="0018228C" w:rsidRPr="00004886" w14:paraId="2FC11466" w14:textId="77777777" w:rsidTr="0018228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78FB936" w14:textId="77777777" w:rsidR="0018228C" w:rsidRPr="0091763A" w:rsidRDefault="0018228C" w:rsidP="0018228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8228C" w:rsidRPr="00004886" w14:paraId="17E17017" w14:textId="77777777" w:rsidTr="0018228C">
      <w:trPr>
        <w:trHeight w:val="576"/>
      </w:trPr>
      <w:tc>
        <w:tcPr>
          <w:tcW w:w="9350" w:type="dxa"/>
          <w:gridSpan w:val="3"/>
          <w:vAlign w:val="center"/>
        </w:tcPr>
        <w:p w14:paraId="1D386759" w14:textId="77777777" w:rsidR="0018228C" w:rsidRPr="00383057" w:rsidRDefault="0018228C" w:rsidP="0018228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1733074B" w14:textId="77777777" w:rsidTr="0018228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E95E30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D2EF473" w14:textId="77777777" w:rsidTr="0018228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1BAB7EDF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D64A589" w14:textId="77777777" w:rsidR="00017F74" w:rsidRDefault="00017F74" w:rsidP="00004886">
    <w:pPr>
      <w:pStyle w:val="Header"/>
      <w:ind w:lef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F238" w14:textId="77777777" w:rsidR="00432F83" w:rsidRDefault="00432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198F"/>
    <w:multiLevelType w:val="hybridMultilevel"/>
    <w:tmpl w:val="8C46EC5C"/>
    <w:lvl w:ilvl="0" w:tplc="9634AD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8AA850E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EAC05436">
      <w:start w:val="2"/>
      <w:numFmt w:val="decimal"/>
      <w:lvlText w:val="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 w:tplc="299E13F4">
      <w:start w:val="1"/>
      <w:numFmt w:val="upperLetter"/>
      <w:lvlText w:val="%4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4" w:tplc="E6ACEDE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6AAA8E48">
      <w:start w:val="1"/>
      <w:numFmt w:val="upperLetter"/>
      <w:lvlText w:val="%6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 w:tplc="C6809F8A">
      <w:start w:val="4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E5346"/>
    <w:multiLevelType w:val="hybridMultilevel"/>
    <w:tmpl w:val="8D06A006"/>
    <w:lvl w:ilvl="0" w:tplc="FB00CBBC">
      <w:start w:val="1"/>
      <w:numFmt w:val="decimal"/>
      <w:lvlText w:val="%1."/>
      <w:lvlJc w:val="left"/>
      <w:pPr>
        <w:ind w:left="216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1E335357"/>
    <w:multiLevelType w:val="hybridMultilevel"/>
    <w:tmpl w:val="647E9D38"/>
    <w:lvl w:ilvl="0" w:tplc="EB98EACC">
      <w:start w:val="1"/>
      <w:numFmt w:val="upp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D2BB2"/>
    <w:multiLevelType w:val="hybridMultilevel"/>
    <w:tmpl w:val="003A1B9C"/>
    <w:lvl w:ilvl="0" w:tplc="04090015">
      <w:start w:val="1"/>
      <w:numFmt w:val="upperLetter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8709881">
    <w:abstractNumId w:val="1"/>
  </w:num>
  <w:num w:numId="2" w16cid:durableId="1603755823">
    <w:abstractNumId w:val="14"/>
  </w:num>
  <w:num w:numId="3" w16cid:durableId="24453762">
    <w:abstractNumId w:val="8"/>
  </w:num>
  <w:num w:numId="4" w16cid:durableId="695619534">
    <w:abstractNumId w:val="10"/>
  </w:num>
  <w:num w:numId="5" w16cid:durableId="704911017">
    <w:abstractNumId w:val="13"/>
  </w:num>
  <w:num w:numId="6" w16cid:durableId="78213087">
    <w:abstractNumId w:val="0"/>
  </w:num>
  <w:num w:numId="7" w16cid:durableId="1947273336">
    <w:abstractNumId w:val="6"/>
  </w:num>
  <w:num w:numId="8" w16cid:durableId="608977239">
    <w:abstractNumId w:val="12"/>
    <w:lvlOverride w:ilvl="0">
      <w:startOverride w:val="1"/>
    </w:lvlOverride>
  </w:num>
  <w:num w:numId="9" w16cid:durableId="260526985">
    <w:abstractNumId w:val="4"/>
    <w:lvlOverride w:ilvl="0">
      <w:startOverride w:val="1"/>
    </w:lvlOverride>
  </w:num>
  <w:num w:numId="10" w16cid:durableId="997924431">
    <w:abstractNumId w:val="9"/>
  </w:num>
  <w:num w:numId="11" w16cid:durableId="442961343">
    <w:abstractNumId w:val="11"/>
  </w:num>
  <w:num w:numId="12" w16cid:durableId="2032414232">
    <w:abstractNumId w:val="5"/>
  </w:num>
  <w:num w:numId="13" w16cid:durableId="1364792096">
    <w:abstractNumId w:val="2"/>
  </w:num>
  <w:num w:numId="14" w16cid:durableId="1992828492">
    <w:abstractNumId w:val="3"/>
  </w:num>
  <w:num w:numId="15" w16cid:durableId="4405377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75223"/>
    <w:rsid w:val="0009339C"/>
    <w:rsid w:val="000A7F1E"/>
    <w:rsid w:val="000B2666"/>
    <w:rsid w:val="000E0535"/>
    <w:rsid w:val="000E0733"/>
    <w:rsid w:val="00100497"/>
    <w:rsid w:val="00101841"/>
    <w:rsid w:val="001028FF"/>
    <w:rsid w:val="001754C6"/>
    <w:rsid w:val="0018228C"/>
    <w:rsid w:val="001D12AA"/>
    <w:rsid w:val="001D6E1A"/>
    <w:rsid w:val="002174C0"/>
    <w:rsid w:val="00241249"/>
    <w:rsid w:val="00282429"/>
    <w:rsid w:val="002C5411"/>
    <w:rsid w:val="00317EFB"/>
    <w:rsid w:val="00366B62"/>
    <w:rsid w:val="00383057"/>
    <w:rsid w:val="00391E58"/>
    <w:rsid w:val="003A605C"/>
    <w:rsid w:val="003B209C"/>
    <w:rsid w:val="004039FB"/>
    <w:rsid w:val="00404598"/>
    <w:rsid w:val="00432F83"/>
    <w:rsid w:val="004865BC"/>
    <w:rsid w:val="00496194"/>
    <w:rsid w:val="004B00A2"/>
    <w:rsid w:val="004D66B8"/>
    <w:rsid w:val="004F7E1E"/>
    <w:rsid w:val="00522B80"/>
    <w:rsid w:val="00546D27"/>
    <w:rsid w:val="00551083"/>
    <w:rsid w:val="00562B04"/>
    <w:rsid w:val="00567674"/>
    <w:rsid w:val="005F4D1B"/>
    <w:rsid w:val="006176FB"/>
    <w:rsid w:val="006318B2"/>
    <w:rsid w:val="00636251"/>
    <w:rsid w:val="006418C4"/>
    <w:rsid w:val="0064513A"/>
    <w:rsid w:val="006772EC"/>
    <w:rsid w:val="006C0ECD"/>
    <w:rsid w:val="0071221F"/>
    <w:rsid w:val="00721119"/>
    <w:rsid w:val="00744C01"/>
    <w:rsid w:val="00793720"/>
    <w:rsid w:val="007B3248"/>
    <w:rsid w:val="007D240F"/>
    <w:rsid w:val="00804817"/>
    <w:rsid w:val="00806F6F"/>
    <w:rsid w:val="00857EA6"/>
    <w:rsid w:val="00864824"/>
    <w:rsid w:val="008F49D4"/>
    <w:rsid w:val="009004E1"/>
    <w:rsid w:val="00914055"/>
    <w:rsid w:val="0091763A"/>
    <w:rsid w:val="009342A6"/>
    <w:rsid w:val="009F3EE2"/>
    <w:rsid w:val="00AA7F0B"/>
    <w:rsid w:val="00AC317F"/>
    <w:rsid w:val="00AF7CAE"/>
    <w:rsid w:val="00B35162"/>
    <w:rsid w:val="00B56A96"/>
    <w:rsid w:val="00BA51C0"/>
    <w:rsid w:val="00BE2960"/>
    <w:rsid w:val="00BF4D51"/>
    <w:rsid w:val="00C1303A"/>
    <w:rsid w:val="00C33BE5"/>
    <w:rsid w:val="00C70850"/>
    <w:rsid w:val="00CE6DA2"/>
    <w:rsid w:val="00D656C1"/>
    <w:rsid w:val="00D927EC"/>
    <w:rsid w:val="00D97827"/>
    <w:rsid w:val="00DD17C5"/>
    <w:rsid w:val="00DD4B6F"/>
    <w:rsid w:val="00DE38FB"/>
    <w:rsid w:val="00DF0A30"/>
    <w:rsid w:val="00E056E4"/>
    <w:rsid w:val="00E20F10"/>
    <w:rsid w:val="00E547EA"/>
    <w:rsid w:val="00E810E1"/>
    <w:rsid w:val="00E97FB9"/>
    <w:rsid w:val="00F06F0C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1570595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  <w:style w:type="paragraph" w:styleId="NoSpacing">
    <w:name w:val="No Spacing"/>
    <w:uiPriority w:val="1"/>
    <w:qFormat/>
    <w:rsid w:val="00F06F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B8B4-C917-42C3-87A4-D3908C33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2</cp:revision>
  <dcterms:created xsi:type="dcterms:W3CDTF">2024-07-02T20:35:00Z</dcterms:created>
  <dcterms:modified xsi:type="dcterms:W3CDTF">2024-07-02T20:35:00Z</dcterms:modified>
</cp:coreProperties>
</file>