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8387" w14:textId="77777777" w:rsidR="00527521" w:rsidRPr="00527521" w:rsidRDefault="00527521" w:rsidP="00743644">
      <w:pPr>
        <w:spacing w:after="0" w:line="360" w:lineRule="auto"/>
        <w:rPr>
          <w:rFonts w:ascii="Avenir" w:hAnsi="Avenir" w:cs="Arial"/>
          <w:b/>
          <w:sz w:val="24"/>
        </w:rPr>
      </w:pPr>
      <w:r w:rsidRPr="00527521">
        <w:rPr>
          <w:rFonts w:ascii="Avenir" w:hAnsi="Avenir" w:cs="Arial"/>
          <w:b/>
          <w:sz w:val="24"/>
        </w:rPr>
        <w:t xml:space="preserve">Policy </w:t>
      </w:r>
    </w:p>
    <w:p w14:paraId="0C15BB52" w14:textId="77777777" w:rsidR="00397851" w:rsidRPr="00C61619" w:rsidRDefault="00397851" w:rsidP="00743644">
      <w:pPr>
        <w:pStyle w:val="Heading1"/>
        <w:numPr>
          <w:ilvl w:val="0"/>
          <w:numId w:val="23"/>
        </w:numPr>
        <w:tabs>
          <w:tab w:val="clear" w:pos="720"/>
        </w:tabs>
        <w:spacing w:after="100"/>
        <w:ind w:left="360"/>
        <w:contextualSpacing/>
        <w:rPr>
          <w:rFonts w:ascii="Georgia" w:hAnsi="Georgia" w:cs="Arial"/>
          <w:sz w:val="22"/>
          <w:szCs w:val="22"/>
        </w:rPr>
      </w:pPr>
      <w:r w:rsidRPr="00C61619">
        <w:rPr>
          <w:rFonts w:ascii="Georgia" w:hAnsi="Georgia" w:cs="Arial"/>
          <w:sz w:val="22"/>
          <w:szCs w:val="22"/>
        </w:rPr>
        <w:t>To provide safe departure from the facility</w:t>
      </w:r>
    </w:p>
    <w:p w14:paraId="38BFF435" w14:textId="77777777" w:rsidR="00397851" w:rsidRDefault="00397851" w:rsidP="00743644">
      <w:pPr>
        <w:pStyle w:val="Heading1"/>
        <w:numPr>
          <w:ilvl w:val="0"/>
          <w:numId w:val="23"/>
        </w:numPr>
        <w:tabs>
          <w:tab w:val="clear" w:pos="720"/>
        </w:tabs>
        <w:ind w:left="360"/>
        <w:contextualSpacing/>
        <w:rPr>
          <w:rFonts w:ascii="Georgia" w:hAnsi="Georgia" w:cs="Arial"/>
          <w:sz w:val="22"/>
          <w:szCs w:val="22"/>
        </w:rPr>
      </w:pPr>
      <w:r w:rsidRPr="00C61619">
        <w:rPr>
          <w:rFonts w:ascii="Georgia" w:hAnsi="Georgia" w:cs="Arial"/>
          <w:sz w:val="22"/>
          <w:szCs w:val="22"/>
        </w:rPr>
        <w:t>To provide sufficient information for after care of the resident</w:t>
      </w:r>
    </w:p>
    <w:p w14:paraId="370870AB" w14:textId="77777777" w:rsidR="00BA3B2B" w:rsidRPr="00BA3B2B" w:rsidRDefault="00BA3B2B" w:rsidP="00BA3B2B">
      <w:pPr>
        <w:spacing w:after="0" w:line="240" w:lineRule="auto"/>
      </w:pPr>
    </w:p>
    <w:p w14:paraId="59D71AAC" w14:textId="77777777" w:rsidR="00527521" w:rsidRPr="00527521" w:rsidRDefault="00527521" w:rsidP="00743644">
      <w:pPr>
        <w:spacing w:after="0" w:line="360" w:lineRule="auto"/>
        <w:rPr>
          <w:rFonts w:ascii="Avenir" w:hAnsi="Avenir" w:cs="Arial"/>
          <w:b/>
          <w:sz w:val="24"/>
        </w:rPr>
      </w:pPr>
      <w:r w:rsidRPr="00527521">
        <w:rPr>
          <w:rFonts w:ascii="Avenir" w:hAnsi="Avenir" w:cs="Arial"/>
          <w:b/>
          <w:sz w:val="24"/>
        </w:rPr>
        <w:t xml:space="preserve">Definitions </w:t>
      </w:r>
    </w:p>
    <w:p w14:paraId="2C272E6C" w14:textId="77777777" w:rsidR="00D51DFA" w:rsidRPr="00C61619" w:rsidRDefault="00397851" w:rsidP="00743644">
      <w:pPr>
        <w:pStyle w:val="ListParagraph"/>
        <w:numPr>
          <w:ilvl w:val="0"/>
          <w:numId w:val="28"/>
        </w:numPr>
        <w:tabs>
          <w:tab w:val="left" w:pos="1841"/>
        </w:tabs>
        <w:spacing w:after="100" w:line="240" w:lineRule="auto"/>
        <w:ind w:left="360"/>
        <w:rPr>
          <w:rFonts w:ascii="Georgia" w:hAnsi="Georgia" w:cs="Arial"/>
        </w:rPr>
      </w:pPr>
      <w:r w:rsidRPr="00C61619">
        <w:rPr>
          <w:rFonts w:ascii="Georgia" w:hAnsi="Georgia" w:cs="Arial"/>
        </w:rPr>
        <w:t xml:space="preserve">Discharge: To leave the facility without plans or intent to return; i.e. discharge to home, a lower level of care or another </w:t>
      </w:r>
      <w:r w:rsidR="00B50A61" w:rsidRPr="00C61619">
        <w:rPr>
          <w:rFonts w:ascii="Georgia" w:hAnsi="Georgia" w:cs="Arial"/>
        </w:rPr>
        <w:t>long-term</w:t>
      </w:r>
      <w:r w:rsidRPr="00C61619">
        <w:rPr>
          <w:rFonts w:ascii="Georgia" w:hAnsi="Georgia" w:cs="Arial"/>
        </w:rPr>
        <w:t xml:space="preserve"> care facility</w:t>
      </w:r>
    </w:p>
    <w:p w14:paraId="762CBB53" w14:textId="77777777" w:rsidR="00D51DFA" w:rsidRPr="00C61619" w:rsidRDefault="00397851" w:rsidP="00743644">
      <w:pPr>
        <w:pStyle w:val="ListParagraph"/>
        <w:numPr>
          <w:ilvl w:val="0"/>
          <w:numId w:val="28"/>
        </w:numPr>
        <w:tabs>
          <w:tab w:val="left" w:pos="1841"/>
        </w:tabs>
        <w:spacing w:after="100" w:line="240" w:lineRule="auto"/>
        <w:ind w:left="360"/>
        <w:rPr>
          <w:rFonts w:ascii="Georgia" w:hAnsi="Georgia" w:cs="Arial"/>
        </w:rPr>
      </w:pPr>
      <w:r w:rsidRPr="00C61619">
        <w:rPr>
          <w:rFonts w:ascii="Georgia" w:hAnsi="Georgia" w:cs="Arial"/>
        </w:rPr>
        <w:t xml:space="preserve">Transfer: To leave the facility with plans or intention to return; i.e. transfer to an acute care facility for appropriate care </w:t>
      </w:r>
    </w:p>
    <w:p w14:paraId="2D1B540B" w14:textId="77777777" w:rsidR="00AF6889" w:rsidRPr="00C61619" w:rsidRDefault="00AF6889" w:rsidP="00743644">
      <w:pPr>
        <w:pStyle w:val="ListParagraph"/>
        <w:numPr>
          <w:ilvl w:val="0"/>
          <w:numId w:val="28"/>
        </w:numPr>
        <w:tabs>
          <w:tab w:val="left" w:pos="1841"/>
        </w:tabs>
        <w:spacing w:after="0" w:line="240" w:lineRule="auto"/>
        <w:ind w:left="360"/>
        <w:rPr>
          <w:rFonts w:ascii="Georgia" w:hAnsi="Georgia" w:cs="Arial"/>
        </w:rPr>
      </w:pPr>
      <w:r w:rsidRPr="00C61619">
        <w:rPr>
          <w:rFonts w:ascii="Georgia" w:hAnsi="Georgia" w:cs="Arial"/>
          <w:bCs/>
          <w:iCs/>
        </w:rPr>
        <w:t xml:space="preserve">Transfer and discharge </w:t>
      </w:r>
      <w:r w:rsidR="00B50A61" w:rsidRPr="00C61619">
        <w:rPr>
          <w:rFonts w:ascii="Georgia" w:hAnsi="Georgia" w:cs="Arial"/>
          <w:bCs/>
          <w:iCs/>
        </w:rPr>
        <w:t>include</w:t>
      </w:r>
      <w:r w:rsidRPr="00C61619">
        <w:rPr>
          <w:rFonts w:ascii="Georgia" w:hAnsi="Georgia" w:cs="Arial"/>
          <w:bCs/>
          <w:iCs/>
        </w:rPr>
        <w:t xml:space="preserve"> movement of a resident to a bed outside of the certified facility whether that bed is in the same physical plant or not. Transfer and discharge </w:t>
      </w:r>
      <w:r w:rsidR="00B50A61" w:rsidRPr="00C61619">
        <w:rPr>
          <w:rFonts w:ascii="Georgia" w:hAnsi="Georgia" w:cs="Arial"/>
          <w:bCs/>
          <w:iCs/>
        </w:rPr>
        <w:t>do</w:t>
      </w:r>
      <w:r w:rsidRPr="00C61619">
        <w:rPr>
          <w:rFonts w:ascii="Georgia" w:hAnsi="Georgia" w:cs="Arial"/>
          <w:bCs/>
          <w:iCs/>
        </w:rPr>
        <w:t xml:space="preserve"> not refer to movement of a resident to a bed within the same certified facility.</w:t>
      </w:r>
    </w:p>
    <w:p w14:paraId="0C73EB43" w14:textId="77777777" w:rsidR="00BA3B2B" w:rsidRDefault="00BA3B2B" w:rsidP="00527521">
      <w:pPr>
        <w:spacing w:after="0" w:line="240" w:lineRule="auto"/>
        <w:rPr>
          <w:rFonts w:ascii="Avenir" w:hAnsi="Avenir" w:cs="Arial"/>
          <w:b/>
          <w:sz w:val="24"/>
        </w:rPr>
      </w:pPr>
    </w:p>
    <w:p w14:paraId="561524D5" w14:textId="77777777" w:rsidR="00527521" w:rsidRPr="00527521" w:rsidRDefault="00527521" w:rsidP="00743644">
      <w:pPr>
        <w:spacing w:after="0" w:line="360" w:lineRule="auto"/>
        <w:rPr>
          <w:rFonts w:ascii="Avenir" w:hAnsi="Avenir" w:cs="Arial"/>
          <w:b/>
          <w:sz w:val="24"/>
        </w:rPr>
      </w:pPr>
      <w:r w:rsidRPr="00527521">
        <w:rPr>
          <w:rFonts w:ascii="Avenir" w:hAnsi="Avenir" w:cs="Arial"/>
          <w:b/>
          <w:sz w:val="24"/>
        </w:rPr>
        <w:t>P</w:t>
      </w:r>
      <w:r w:rsidR="00BA3B2B">
        <w:rPr>
          <w:rFonts w:ascii="Avenir" w:hAnsi="Avenir" w:cs="Arial"/>
          <w:b/>
          <w:sz w:val="24"/>
        </w:rPr>
        <w:t>rocedure</w:t>
      </w:r>
    </w:p>
    <w:p w14:paraId="0432E1C4" w14:textId="77777777" w:rsidR="0063112F" w:rsidRPr="00C61619" w:rsidRDefault="0063112F" w:rsidP="00BA3B2B">
      <w:pPr>
        <w:autoSpaceDE w:val="0"/>
        <w:autoSpaceDN w:val="0"/>
        <w:adjustRightInd w:val="0"/>
        <w:spacing w:after="0" w:line="240" w:lineRule="auto"/>
        <w:rPr>
          <w:rFonts w:ascii="Georgia" w:hAnsi="Georgia" w:cs="Arial"/>
          <w:u w:val="single"/>
        </w:rPr>
      </w:pPr>
      <w:r w:rsidRPr="00C61619">
        <w:rPr>
          <w:rFonts w:ascii="Georgia" w:hAnsi="Georgia" w:cs="Arial"/>
          <w:bCs/>
          <w:iCs/>
          <w:u w:val="single"/>
        </w:rPr>
        <w:t>D</w:t>
      </w:r>
      <w:r w:rsidRPr="00C61619">
        <w:rPr>
          <w:rFonts w:ascii="Georgia" w:hAnsi="Georgia" w:cs="Arial"/>
          <w:bCs/>
          <w:u w:val="single"/>
        </w:rPr>
        <w:t>ischarge</w:t>
      </w:r>
      <w:r w:rsidR="007313A7" w:rsidRPr="00C61619">
        <w:rPr>
          <w:rFonts w:ascii="Georgia" w:hAnsi="Georgia" w:cs="Arial"/>
          <w:bCs/>
          <w:u w:val="single"/>
        </w:rPr>
        <w:t xml:space="preserve"> and Transfer</w:t>
      </w:r>
    </w:p>
    <w:p w14:paraId="2F0BBC46" w14:textId="77777777" w:rsidR="0063112F" w:rsidRPr="00C61619" w:rsidRDefault="0063112F" w:rsidP="00743644">
      <w:pPr>
        <w:pStyle w:val="ListParagraph"/>
        <w:numPr>
          <w:ilvl w:val="0"/>
          <w:numId w:val="31"/>
        </w:numPr>
        <w:autoSpaceDE w:val="0"/>
        <w:autoSpaceDN w:val="0"/>
        <w:adjustRightInd w:val="0"/>
        <w:spacing w:after="74" w:line="240" w:lineRule="auto"/>
        <w:ind w:left="360"/>
        <w:rPr>
          <w:rFonts w:ascii="Georgia" w:hAnsi="Georgia" w:cs="Arial"/>
        </w:rPr>
      </w:pPr>
      <w:r w:rsidRPr="00C61619">
        <w:rPr>
          <w:rFonts w:ascii="Georgia" w:hAnsi="Georgia" w:cs="Arial"/>
          <w:bCs/>
          <w:iCs/>
        </w:rPr>
        <w:t>Facility requirements</w:t>
      </w:r>
      <w:r w:rsidRPr="00C61619">
        <w:rPr>
          <w:rFonts w:ascii="Georgia" w:hAnsi="Georgia" w:cs="Arial"/>
          <w:bCs/>
          <w:iCs/>
        </w:rPr>
        <w:softHyphen/>
      </w:r>
    </w:p>
    <w:p w14:paraId="70429960" w14:textId="77777777" w:rsidR="00B11482" w:rsidRPr="00C61619" w:rsidRDefault="0063112F" w:rsidP="00743644">
      <w:pPr>
        <w:pStyle w:val="ListParagraph"/>
        <w:numPr>
          <w:ilvl w:val="1"/>
          <w:numId w:val="31"/>
        </w:numPr>
        <w:autoSpaceDE w:val="0"/>
        <w:autoSpaceDN w:val="0"/>
        <w:adjustRightInd w:val="0"/>
        <w:spacing w:after="74" w:line="240" w:lineRule="auto"/>
        <w:ind w:left="1080"/>
        <w:rPr>
          <w:rFonts w:ascii="Georgia" w:hAnsi="Georgia" w:cs="Arial"/>
        </w:rPr>
      </w:pPr>
      <w:r w:rsidRPr="00C61619">
        <w:rPr>
          <w:rFonts w:ascii="Georgia" w:hAnsi="Georgia" w:cs="Arial"/>
          <w:bCs/>
        </w:rPr>
        <w:t>The facility must permit each resident to remain in the facility, and not transfer or discharge the res</w:t>
      </w:r>
      <w:r w:rsidR="008317BC" w:rsidRPr="00C61619">
        <w:rPr>
          <w:rFonts w:ascii="Georgia" w:hAnsi="Georgia" w:cs="Arial"/>
          <w:bCs/>
        </w:rPr>
        <w:t>ident from the facility unless</w:t>
      </w:r>
      <w:r w:rsidR="00B32106" w:rsidRPr="00C61619">
        <w:rPr>
          <w:rFonts w:ascii="Georgia" w:hAnsi="Georgia" w:cs="Arial"/>
          <w:bCs/>
        </w:rPr>
        <w:t xml:space="preserve"> t</w:t>
      </w:r>
      <w:r w:rsidR="002C3AAE" w:rsidRPr="00C61619">
        <w:rPr>
          <w:rFonts w:ascii="Georgia" w:hAnsi="Georgia" w:cs="Arial"/>
          <w:bCs/>
        </w:rPr>
        <w:t>he transfer or discharge is necessary for</w:t>
      </w:r>
      <w:r w:rsidR="00B11482" w:rsidRPr="00C61619">
        <w:rPr>
          <w:rFonts w:ascii="Georgia" w:hAnsi="Georgia" w:cs="Arial"/>
          <w:bCs/>
        </w:rPr>
        <w:t>:</w:t>
      </w:r>
    </w:p>
    <w:p w14:paraId="4602F0CF" w14:textId="77777777" w:rsidR="00B11482" w:rsidRPr="00C61619" w:rsidRDefault="00B11482" w:rsidP="00743644">
      <w:pPr>
        <w:pStyle w:val="ListParagraph"/>
        <w:numPr>
          <w:ilvl w:val="2"/>
          <w:numId w:val="31"/>
        </w:numPr>
        <w:autoSpaceDE w:val="0"/>
        <w:autoSpaceDN w:val="0"/>
        <w:adjustRightInd w:val="0"/>
        <w:spacing w:after="74" w:line="240" w:lineRule="auto"/>
        <w:ind w:left="1800"/>
        <w:rPr>
          <w:rFonts w:ascii="Georgia" w:hAnsi="Georgia" w:cs="Arial"/>
        </w:rPr>
      </w:pPr>
      <w:r w:rsidRPr="00C61619">
        <w:rPr>
          <w:rFonts w:ascii="Georgia" w:hAnsi="Georgia" w:cs="Arial"/>
          <w:bCs/>
        </w:rPr>
        <w:t>T</w:t>
      </w:r>
      <w:r w:rsidR="002C3AAE" w:rsidRPr="00C61619">
        <w:rPr>
          <w:rFonts w:ascii="Georgia" w:hAnsi="Georgia" w:cs="Arial"/>
          <w:bCs/>
        </w:rPr>
        <w:t xml:space="preserve">he resident’s welfare and the resident’s needs cannot be met in the facility; </w:t>
      </w:r>
    </w:p>
    <w:p w14:paraId="79DD15A1" w14:textId="77777777" w:rsidR="0063112F" w:rsidRPr="00C61619" w:rsidRDefault="0063112F" w:rsidP="00743644">
      <w:pPr>
        <w:pStyle w:val="ListParagraph"/>
        <w:numPr>
          <w:ilvl w:val="2"/>
          <w:numId w:val="31"/>
        </w:numPr>
        <w:autoSpaceDE w:val="0"/>
        <w:autoSpaceDN w:val="0"/>
        <w:adjustRightInd w:val="0"/>
        <w:spacing w:after="74" w:line="240" w:lineRule="auto"/>
        <w:ind w:left="1800"/>
        <w:rPr>
          <w:rFonts w:ascii="Georgia" w:hAnsi="Georgia" w:cs="Arial"/>
        </w:rPr>
      </w:pPr>
      <w:r w:rsidRPr="00C61619">
        <w:rPr>
          <w:rFonts w:ascii="Georgia" w:hAnsi="Georgia" w:cs="Arial"/>
          <w:bCs/>
        </w:rPr>
        <w:t xml:space="preserve">The transfer or discharge is appropriate because the resident’s health has improved sufficiently so the resident no longer needs the services provided by the facility; </w:t>
      </w:r>
    </w:p>
    <w:p w14:paraId="3193B8ED" w14:textId="77777777" w:rsidR="00E73C23" w:rsidRPr="00C61619" w:rsidRDefault="0063112F" w:rsidP="00743644">
      <w:pPr>
        <w:pStyle w:val="ListParagraph"/>
        <w:numPr>
          <w:ilvl w:val="2"/>
          <w:numId w:val="31"/>
        </w:numPr>
        <w:autoSpaceDE w:val="0"/>
        <w:autoSpaceDN w:val="0"/>
        <w:adjustRightInd w:val="0"/>
        <w:spacing w:after="74" w:line="240" w:lineRule="auto"/>
        <w:ind w:left="1800"/>
        <w:rPr>
          <w:rFonts w:ascii="Georgia" w:hAnsi="Georgia" w:cs="Arial"/>
        </w:rPr>
      </w:pPr>
      <w:r w:rsidRPr="00C61619">
        <w:rPr>
          <w:rFonts w:ascii="Georgia" w:hAnsi="Georgia" w:cs="Arial"/>
          <w:bCs/>
        </w:rPr>
        <w:t xml:space="preserve">The safety of individuals in the facility is endangered </w:t>
      </w:r>
      <w:r w:rsidRPr="00C61619">
        <w:rPr>
          <w:rFonts w:ascii="Georgia" w:hAnsi="Georgia" w:cs="Arial"/>
          <w:bCs/>
          <w:iCs/>
        </w:rPr>
        <w:t xml:space="preserve">due to the clinical or behavioral status of the resident; </w:t>
      </w:r>
    </w:p>
    <w:p w14:paraId="0B2A2442" w14:textId="77777777" w:rsidR="006B0EE9" w:rsidRPr="00C61619" w:rsidRDefault="0063112F" w:rsidP="00743644">
      <w:pPr>
        <w:pStyle w:val="ListParagraph"/>
        <w:numPr>
          <w:ilvl w:val="2"/>
          <w:numId w:val="31"/>
        </w:numPr>
        <w:autoSpaceDE w:val="0"/>
        <w:autoSpaceDN w:val="0"/>
        <w:adjustRightInd w:val="0"/>
        <w:spacing w:after="74" w:line="240" w:lineRule="auto"/>
        <w:ind w:left="1800"/>
        <w:rPr>
          <w:rFonts w:ascii="Georgia" w:hAnsi="Georgia" w:cs="Arial"/>
        </w:rPr>
      </w:pPr>
      <w:r w:rsidRPr="00C61619">
        <w:rPr>
          <w:rFonts w:ascii="Georgia" w:hAnsi="Georgia" w:cs="Arial"/>
          <w:bCs/>
        </w:rPr>
        <w:t>The health of individuals in the facility would otherwise be endange</w:t>
      </w:r>
      <w:r w:rsidR="00E73C23" w:rsidRPr="00C61619">
        <w:rPr>
          <w:rFonts w:ascii="Georgia" w:hAnsi="Georgia" w:cs="Arial"/>
          <w:bCs/>
        </w:rPr>
        <w:t>red;</w:t>
      </w:r>
    </w:p>
    <w:p w14:paraId="6ABDA861" w14:textId="77777777" w:rsidR="006B0EE9" w:rsidRPr="00C61619" w:rsidRDefault="006B0EE9" w:rsidP="00743644">
      <w:pPr>
        <w:pStyle w:val="ListParagraph"/>
        <w:numPr>
          <w:ilvl w:val="2"/>
          <w:numId w:val="31"/>
        </w:numPr>
        <w:autoSpaceDE w:val="0"/>
        <w:autoSpaceDN w:val="0"/>
        <w:adjustRightInd w:val="0"/>
        <w:spacing w:after="74" w:line="240" w:lineRule="auto"/>
        <w:ind w:left="1800"/>
        <w:rPr>
          <w:rFonts w:ascii="Georgia" w:hAnsi="Georgia" w:cs="Arial"/>
        </w:rPr>
      </w:pPr>
      <w:r w:rsidRPr="00C61619">
        <w:rPr>
          <w:rFonts w:ascii="Georgia" w:hAnsi="Georgia" w:cs="Arial"/>
          <w:bCs/>
        </w:rPr>
        <w:t>An immediate transfer or discharge is required by the resident’s urgent medical needs;</w:t>
      </w:r>
    </w:p>
    <w:p w14:paraId="08F1781E" w14:textId="77777777" w:rsidR="00E73C23" w:rsidRPr="00C61619" w:rsidRDefault="0063112F" w:rsidP="00743644">
      <w:pPr>
        <w:pStyle w:val="ListParagraph"/>
        <w:numPr>
          <w:ilvl w:val="2"/>
          <w:numId w:val="31"/>
        </w:numPr>
        <w:autoSpaceDE w:val="0"/>
        <w:autoSpaceDN w:val="0"/>
        <w:adjustRightInd w:val="0"/>
        <w:spacing w:after="74" w:line="240" w:lineRule="auto"/>
        <w:ind w:left="1800"/>
        <w:rPr>
          <w:rFonts w:ascii="Georgia" w:hAnsi="Georgia" w:cs="Arial"/>
        </w:rPr>
      </w:pPr>
      <w:r w:rsidRPr="00C61619">
        <w:rPr>
          <w:rFonts w:ascii="Georgia" w:hAnsi="Georgia" w:cs="Arial"/>
          <w:bCs/>
        </w:rPr>
        <w:t>The resident has failed, after reasonable and appropriate notice, to pay for (or to have paid under Medicare or Medicaid) a stay at the facility</w:t>
      </w:r>
      <w:r w:rsidRPr="00C61619">
        <w:rPr>
          <w:rFonts w:ascii="Georgia" w:hAnsi="Georgia" w:cs="Arial"/>
          <w:bCs/>
          <w:iCs/>
        </w:rPr>
        <w:t xml:space="preserve">. Nonpayment </w:t>
      </w:r>
      <w:r w:rsidRPr="00C61619">
        <w:rPr>
          <w:rFonts w:ascii="Georgia" w:hAnsi="Georgia" w:cs="Arial"/>
          <w:bCs/>
          <w:iCs/>
        </w:rPr>
        <w:lastRenderedPageBreak/>
        <w:t xml:space="preserve">applies if the resident does not submit the necessary paperwork for </w:t>
      </w:r>
      <w:r w:rsidR="00E73C23" w:rsidRPr="00C61619">
        <w:rPr>
          <w:rFonts w:ascii="Georgia" w:hAnsi="Georgia" w:cs="Arial"/>
          <w:bCs/>
          <w:iCs/>
        </w:rPr>
        <w:t xml:space="preserve">third party payment or after the third party, including Medicare or Medicaid, denies the claim and the resident refuses to pay for his or her stay. </w:t>
      </w:r>
      <w:r w:rsidR="00E73C23" w:rsidRPr="00C61619">
        <w:rPr>
          <w:rFonts w:ascii="Georgia" w:hAnsi="Georgia" w:cs="Arial"/>
          <w:bCs/>
        </w:rPr>
        <w:t xml:space="preserve">For a resident who becomes eligible for Medicaid after admission to a </w:t>
      </w:r>
      <w:r w:rsidR="00E73C23" w:rsidRPr="00C61619">
        <w:rPr>
          <w:rFonts w:ascii="Georgia" w:hAnsi="Georgia" w:cs="Arial"/>
          <w:bCs/>
          <w:iCs/>
        </w:rPr>
        <w:t xml:space="preserve">facility, </w:t>
      </w:r>
      <w:r w:rsidR="00E73C23" w:rsidRPr="00C61619">
        <w:rPr>
          <w:rFonts w:ascii="Georgia" w:hAnsi="Georgia" w:cs="Arial"/>
          <w:bCs/>
        </w:rPr>
        <w:t xml:space="preserve">the facility may charge a resident only allowable charges under Medicaid; </w:t>
      </w:r>
    </w:p>
    <w:p w14:paraId="3299D970" w14:textId="77777777" w:rsidR="00321569" w:rsidRPr="00C61619" w:rsidRDefault="00AE7566" w:rsidP="00743644">
      <w:pPr>
        <w:pStyle w:val="ListParagraph"/>
        <w:numPr>
          <w:ilvl w:val="1"/>
          <w:numId w:val="31"/>
        </w:numPr>
        <w:autoSpaceDE w:val="0"/>
        <w:autoSpaceDN w:val="0"/>
        <w:adjustRightInd w:val="0"/>
        <w:spacing w:after="74" w:line="240" w:lineRule="auto"/>
        <w:ind w:left="1080"/>
        <w:rPr>
          <w:rFonts w:ascii="Georgia" w:hAnsi="Georgia" w:cs="Arial"/>
        </w:rPr>
      </w:pPr>
      <w:r w:rsidRPr="00C61619">
        <w:rPr>
          <w:rFonts w:ascii="Georgia" w:hAnsi="Georgia" w:cs="Arial"/>
          <w:bCs/>
        </w:rPr>
        <w:t>If the resident objects to the transfer/discharge for any of the above reasons (i-</w:t>
      </w:r>
      <w:r w:rsidR="00E14C46" w:rsidRPr="00C61619">
        <w:rPr>
          <w:rFonts w:ascii="Georgia" w:hAnsi="Georgia" w:cs="Arial"/>
          <w:bCs/>
        </w:rPr>
        <w:t>i</w:t>
      </w:r>
      <w:r w:rsidRPr="00C61619">
        <w:rPr>
          <w:rFonts w:ascii="Georgia" w:hAnsi="Georgia" w:cs="Arial"/>
          <w:bCs/>
        </w:rPr>
        <w:t>v), the physician must document the following in the resident’s medical record:</w:t>
      </w:r>
    </w:p>
    <w:p w14:paraId="53375C8D" w14:textId="77777777" w:rsidR="00321569" w:rsidRPr="00C61619" w:rsidRDefault="00AE7566" w:rsidP="00743644">
      <w:pPr>
        <w:pStyle w:val="ListParagraph"/>
        <w:numPr>
          <w:ilvl w:val="2"/>
          <w:numId w:val="31"/>
        </w:numPr>
        <w:autoSpaceDE w:val="0"/>
        <w:autoSpaceDN w:val="0"/>
        <w:adjustRightInd w:val="0"/>
        <w:spacing w:after="74" w:line="240" w:lineRule="auto"/>
        <w:ind w:left="1800"/>
        <w:rPr>
          <w:rFonts w:ascii="Georgia" w:hAnsi="Georgia" w:cs="Arial"/>
        </w:rPr>
      </w:pPr>
      <w:r w:rsidRPr="00C61619">
        <w:rPr>
          <w:rFonts w:ascii="Georgia" w:hAnsi="Georgia" w:cs="Arial"/>
          <w:bCs/>
        </w:rPr>
        <w:t>Reason for the transfer/discharge</w:t>
      </w:r>
    </w:p>
    <w:p w14:paraId="0DE67647" w14:textId="77777777" w:rsidR="00321569" w:rsidRPr="00C61619" w:rsidRDefault="00AE7566" w:rsidP="00743644">
      <w:pPr>
        <w:pStyle w:val="ListParagraph"/>
        <w:numPr>
          <w:ilvl w:val="2"/>
          <w:numId w:val="31"/>
        </w:numPr>
        <w:autoSpaceDE w:val="0"/>
        <w:autoSpaceDN w:val="0"/>
        <w:adjustRightInd w:val="0"/>
        <w:spacing w:after="74" w:line="240" w:lineRule="auto"/>
        <w:ind w:left="1800"/>
        <w:rPr>
          <w:rFonts w:ascii="Georgia" w:hAnsi="Georgia" w:cs="Arial"/>
        </w:rPr>
      </w:pPr>
      <w:r w:rsidRPr="00C61619">
        <w:rPr>
          <w:rFonts w:ascii="Georgia" w:hAnsi="Georgia" w:cs="Arial"/>
        </w:rPr>
        <w:t>Attempts the facility made to meet the resident’s needs</w:t>
      </w:r>
    </w:p>
    <w:p w14:paraId="5D54283B" w14:textId="77777777" w:rsidR="00321569" w:rsidRPr="00C61619" w:rsidRDefault="00AE7566" w:rsidP="00743644">
      <w:pPr>
        <w:pStyle w:val="ListParagraph"/>
        <w:numPr>
          <w:ilvl w:val="2"/>
          <w:numId w:val="31"/>
        </w:numPr>
        <w:autoSpaceDE w:val="0"/>
        <w:autoSpaceDN w:val="0"/>
        <w:adjustRightInd w:val="0"/>
        <w:spacing w:after="74" w:line="240" w:lineRule="auto"/>
        <w:ind w:left="1800"/>
        <w:rPr>
          <w:rFonts w:ascii="Georgia" w:hAnsi="Georgia" w:cs="Arial"/>
        </w:rPr>
      </w:pPr>
      <w:r w:rsidRPr="00C61619">
        <w:rPr>
          <w:rFonts w:ascii="Georgia" w:hAnsi="Georgia" w:cs="Arial"/>
        </w:rPr>
        <w:t xml:space="preserve">The service available at the receiving facility that will meet the resident’s needs </w:t>
      </w:r>
    </w:p>
    <w:p w14:paraId="0098403F" w14:textId="77777777" w:rsidR="00E07D14" w:rsidRPr="00C61619" w:rsidRDefault="00E73C23" w:rsidP="00743644">
      <w:pPr>
        <w:pStyle w:val="ListParagraph"/>
        <w:numPr>
          <w:ilvl w:val="0"/>
          <w:numId w:val="31"/>
        </w:numPr>
        <w:autoSpaceDE w:val="0"/>
        <w:autoSpaceDN w:val="0"/>
        <w:adjustRightInd w:val="0"/>
        <w:spacing w:after="0" w:line="240" w:lineRule="auto"/>
        <w:ind w:left="360"/>
        <w:rPr>
          <w:rFonts w:ascii="Georgia" w:hAnsi="Georgia"/>
        </w:rPr>
      </w:pPr>
      <w:r w:rsidRPr="00C61619">
        <w:rPr>
          <w:rFonts w:ascii="Georgia" w:hAnsi="Georgia" w:cs="Arial"/>
          <w:bCs/>
          <w:iCs/>
        </w:rPr>
        <w:t>The facility may not transfer or discharge the resident while the appeal is pending, when a resident exercises his or her right to appeal a transfer or discharge notice from the facility, unless the failure to discharge or transfer would endanger the health or safety of the resident or oth</w:t>
      </w:r>
      <w:r w:rsidR="00082324" w:rsidRPr="00C61619">
        <w:rPr>
          <w:rFonts w:ascii="Georgia" w:hAnsi="Georgia" w:cs="Arial"/>
          <w:bCs/>
          <w:iCs/>
        </w:rPr>
        <w:t>er individuals in the facility.</w:t>
      </w:r>
    </w:p>
    <w:p w14:paraId="6BE55812" w14:textId="77777777" w:rsidR="006B0EE9" w:rsidRPr="00C61619" w:rsidRDefault="00E73C23" w:rsidP="00743644">
      <w:pPr>
        <w:pStyle w:val="ListParagraph"/>
        <w:numPr>
          <w:ilvl w:val="1"/>
          <w:numId w:val="31"/>
        </w:numPr>
        <w:autoSpaceDE w:val="0"/>
        <w:autoSpaceDN w:val="0"/>
        <w:adjustRightInd w:val="0"/>
        <w:spacing w:after="0" w:line="240" w:lineRule="auto"/>
        <w:ind w:left="1080"/>
        <w:rPr>
          <w:rFonts w:ascii="Georgia" w:hAnsi="Georgia"/>
        </w:rPr>
      </w:pPr>
      <w:r w:rsidRPr="00C61619">
        <w:rPr>
          <w:rFonts w:ascii="Georgia" w:hAnsi="Georgia" w:cs="Arial"/>
          <w:bCs/>
          <w:iCs/>
        </w:rPr>
        <w:t>The facility must document the danger that failure to tr</w:t>
      </w:r>
      <w:r w:rsidR="00082324" w:rsidRPr="00C61619">
        <w:rPr>
          <w:rFonts w:ascii="Georgia" w:hAnsi="Georgia" w:cs="Arial"/>
          <w:bCs/>
          <w:iCs/>
        </w:rPr>
        <w:t>ansfer or discharge would pose.</w:t>
      </w:r>
    </w:p>
    <w:p w14:paraId="5870AAAB" w14:textId="77777777" w:rsidR="00081736" w:rsidRPr="00C61619" w:rsidRDefault="00081736" w:rsidP="00743644">
      <w:pPr>
        <w:pStyle w:val="Default"/>
        <w:numPr>
          <w:ilvl w:val="0"/>
          <w:numId w:val="31"/>
        </w:numPr>
        <w:ind w:left="360"/>
        <w:rPr>
          <w:rFonts w:ascii="Georgia" w:hAnsi="Georgia" w:cs="Arial"/>
          <w:sz w:val="22"/>
          <w:szCs w:val="22"/>
        </w:rPr>
      </w:pPr>
      <w:r w:rsidRPr="00C61619">
        <w:rPr>
          <w:rFonts w:ascii="Georgia" w:hAnsi="Georgia" w:cs="Arial"/>
          <w:bCs/>
          <w:sz w:val="22"/>
          <w:szCs w:val="22"/>
        </w:rPr>
        <w:t xml:space="preserve">Facility-Initiated Transfers and Discharges </w:t>
      </w:r>
    </w:p>
    <w:p w14:paraId="7550385C" w14:textId="77777777" w:rsidR="00081736" w:rsidRPr="00C61619" w:rsidRDefault="00081736" w:rsidP="00743644">
      <w:pPr>
        <w:pStyle w:val="Default"/>
        <w:numPr>
          <w:ilvl w:val="1"/>
          <w:numId w:val="31"/>
        </w:numPr>
        <w:ind w:left="1080"/>
        <w:rPr>
          <w:rFonts w:ascii="Georgia" w:hAnsi="Georgia" w:cs="Arial"/>
          <w:sz w:val="22"/>
          <w:szCs w:val="22"/>
        </w:rPr>
      </w:pPr>
      <w:r w:rsidRPr="00C61619">
        <w:rPr>
          <w:rFonts w:ascii="Georgia" w:hAnsi="Georgia" w:cs="Arial"/>
          <w:sz w:val="22"/>
          <w:szCs w:val="22"/>
        </w:rPr>
        <w:t xml:space="preserve">In situations where the facility has decided to discharge the resident while the resident is still hospitalized, the facility must send a notice of discharge to the resident and resident </w:t>
      </w:r>
      <w:r w:rsidR="00B50A61" w:rsidRPr="00C61619">
        <w:rPr>
          <w:rFonts w:ascii="Georgia" w:hAnsi="Georgia" w:cs="Arial"/>
          <w:sz w:val="22"/>
          <w:szCs w:val="22"/>
        </w:rPr>
        <w:t>representative and</w:t>
      </w:r>
      <w:r w:rsidRPr="00C61619">
        <w:rPr>
          <w:rFonts w:ascii="Georgia" w:hAnsi="Georgia" w:cs="Arial"/>
          <w:sz w:val="22"/>
          <w:szCs w:val="22"/>
        </w:rPr>
        <w:t xml:space="preserve"> must also send a copy of the discharge notice to a representative of the Office of the State LTC Ombudsman. Notice to the Office of the State LTC Ombudsman must occur at the same time the notice of discharge is provided to the resident and resident representative, even though, at the time of initial emergency transfer, sending a copy of the </w:t>
      </w:r>
      <w:r w:rsidRPr="00C61619">
        <w:rPr>
          <w:rFonts w:ascii="Georgia" w:hAnsi="Georgia" w:cs="Arial"/>
          <w:bCs/>
          <w:sz w:val="22"/>
          <w:szCs w:val="22"/>
        </w:rPr>
        <w:t xml:space="preserve">transfer </w:t>
      </w:r>
      <w:r w:rsidRPr="00C61619">
        <w:rPr>
          <w:rFonts w:ascii="Georgia" w:hAnsi="Georgia" w:cs="Arial"/>
          <w:sz w:val="22"/>
          <w:szCs w:val="22"/>
        </w:rPr>
        <w:t xml:space="preserve">notice to the ombudsman only needed to occur as soon as practicable as described below. </w:t>
      </w:r>
    </w:p>
    <w:p w14:paraId="218F2440" w14:textId="77777777" w:rsidR="00081736" w:rsidRPr="00C61619" w:rsidRDefault="00081736" w:rsidP="00743644">
      <w:pPr>
        <w:pStyle w:val="Default"/>
        <w:numPr>
          <w:ilvl w:val="1"/>
          <w:numId w:val="31"/>
        </w:numPr>
        <w:ind w:left="1080"/>
        <w:rPr>
          <w:rFonts w:ascii="Georgia" w:hAnsi="Georgia" w:cs="Arial"/>
          <w:sz w:val="22"/>
          <w:szCs w:val="22"/>
        </w:rPr>
      </w:pPr>
      <w:r w:rsidRPr="00C61619">
        <w:rPr>
          <w:rFonts w:ascii="Georgia" w:hAnsi="Georgia" w:cs="Arial"/>
          <w:sz w:val="22"/>
          <w:szCs w:val="22"/>
        </w:rPr>
        <w:t xml:space="preserve">For any other types of facility-initiated discharges, the facility must provide notice of discharge to the resident and resident representative along with a copy of the notice to the Office of the State LTC Ombudsman at least 30 days prior to the discharge or as soon as possible. The copy of the notice to the ombudsman must be sent at the same time notice is provided to the resident and resident representative. </w:t>
      </w:r>
    </w:p>
    <w:p w14:paraId="0B6E646C" w14:textId="77777777" w:rsidR="00081736" w:rsidRPr="00C61619" w:rsidRDefault="00081736" w:rsidP="00743644">
      <w:pPr>
        <w:pStyle w:val="Default"/>
        <w:numPr>
          <w:ilvl w:val="1"/>
          <w:numId w:val="31"/>
        </w:numPr>
        <w:ind w:left="1080"/>
        <w:rPr>
          <w:rFonts w:ascii="Georgia" w:hAnsi="Georgia" w:cs="Arial"/>
          <w:sz w:val="22"/>
          <w:szCs w:val="22"/>
        </w:rPr>
      </w:pPr>
      <w:r w:rsidRPr="00C61619">
        <w:rPr>
          <w:rFonts w:ascii="Georgia" w:hAnsi="Georgia" w:cs="Arial"/>
          <w:bCs/>
          <w:sz w:val="22"/>
          <w:szCs w:val="22"/>
        </w:rPr>
        <w:t xml:space="preserve">Emergency Transfers </w:t>
      </w:r>
    </w:p>
    <w:p w14:paraId="250F4D6A" w14:textId="77777777" w:rsidR="006E0A7C" w:rsidRDefault="00081736" w:rsidP="00743644">
      <w:pPr>
        <w:pStyle w:val="Default"/>
        <w:numPr>
          <w:ilvl w:val="2"/>
          <w:numId w:val="31"/>
        </w:numPr>
        <w:ind w:left="1800"/>
        <w:rPr>
          <w:rFonts w:ascii="Georgia" w:hAnsi="Georgia" w:cs="Arial"/>
          <w:sz w:val="22"/>
          <w:szCs w:val="22"/>
        </w:rPr>
      </w:pPr>
      <w:r w:rsidRPr="00C61619">
        <w:rPr>
          <w:rFonts w:ascii="Georgia" w:hAnsi="Georgia" w:cs="Arial"/>
          <w:sz w:val="22"/>
          <w:szCs w:val="22"/>
        </w:rPr>
        <w:t xml:space="preserve">When a resident is temporarily transferred on an emergency basis to an acute care facility, notice of the transfer may be provided to the resident and resident representative as soon as practicable, according to 42 CFR 483.15(c)(4)(ii)(D). Copies of notices for emergency transfers must also still be sent to the ombudsman, but they may be sent when practicable, such as in a list of residents on a monthly basis. </w:t>
      </w:r>
    </w:p>
    <w:p w14:paraId="5719AE9A" w14:textId="77777777" w:rsidR="0057094F" w:rsidRDefault="0057094F" w:rsidP="00743644">
      <w:pPr>
        <w:pStyle w:val="Default"/>
        <w:numPr>
          <w:ilvl w:val="1"/>
          <w:numId w:val="31"/>
        </w:numPr>
        <w:ind w:left="1080"/>
        <w:rPr>
          <w:rFonts w:ascii="Georgia" w:hAnsi="Georgia" w:cs="Arial"/>
          <w:sz w:val="22"/>
          <w:szCs w:val="22"/>
        </w:rPr>
      </w:pPr>
      <w:r>
        <w:rPr>
          <w:rFonts w:ascii="Georgia" w:hAnsi="Georgia" w:cs="Arial"/>
          <w:sz w:val="22"/>
          <w:szCs w:val="22"/>
        </w:rPr>
        <w:t>Notices to the Ohio Department of Health</w:t>
      </w:r>
      <w:r w:rsidR="00527521">
        <w:rPr>
          <w:rFonts w:ascii="Georgia" w:hAnsi="Georgia" w:cs="Arial"/>
          <w:sz w:val="22"/>
          <w:szCs w:val="22"/>
        </w:rPr>
        <w:t xml:space="preserve"> must be emailed</w:t>
      </w:r>
      <w:r>
        <w:rPr>
          <w:rFonts w:ascii="Georgia" w:hAnsi="Georgia" w:cs="Arial"/>
          <w:sz w:val="22"/>
          <w:szCs w:val="22"/>
        </w:rPr>
        <w:t xml:space="preserve"> to </w:t>
      </w:r>
      <w:hyperlink r:id="rId8" w:history="1">
        <w:r w:rsidRPr="00F43EDA">
          <w:rPr>
            <w:rStyle w:val="Hyperlink"/>
            <w:rFonts w:ascii="Georgia" w:hAnsi="Georgia"/>
          </w:rPr>
          <w:t>TransferDischargeNotices@odh.ohio.gov</w:t>
        </w:r>
      </w:hyperlink>
      <w:r>
        <w:rPr>
          <w:rFonts w:ascii="Georgia" w:hAnsi="Georgia" w:cs="Arial"/>
          <w:sz w:val="22"/>
          <w:szCs w:val="22"/>
        </w:rPr>
        <w:t xml:space="preserve"> for the following types of discharge or transfers:</w:t>
      </w:r>
    </w:p>
    <w:p w14:paraId="0F4C34A6" w14:textId="77777777" w:rsidR="0057094F" w:rsidRPr="0057094F" w:rsidRDefault="0057094F" w:rsidP="00743644">
      <w:pPr>
        <w:pStyle w:val="Default"/>
        <w:numPr>
          <w:ilvl w:val="2"/>
          <w:numId w:val="31"/>
        </w:numPr>
        <w:ind w:left="1800"/>
        <w:rPr>
          <w:rFonts w:ascii="Georgia" w:hAnsi="Georgia" w:cs="Arial"/>
          <w:sz w:val="22"/>
          <w:szCs w:val="22"/>
        </w:rPr>
      </w:pPr>
      <w:r w:rsidRPr="0057094F">
        <w:rPr>
          <w:rFonts w:ascii="Georgia" w:hAnsi="Georgia"/>
          <w:sz w:val="22"/>
        </w:rPr>
        <w:t>Thirty Day Proposed Discharg</w:t>
      </w:r>
      <w:r>
        <w:rPr>
          <w:rFonts w:ascii="Georgia" w:hAnsi="Georgia"/>
          <w:sz w:val="22"/>
        </w:rPr>
        <w:t>e Notices to Residents</w:t>
      </w:r>
    </w:p>
    <w:p w14:paraId="798C6A97" w14:textId="77777777" w:rsidR="0057094F" w:rsidRPr="0057094F" w:rsidRDefault="0057094F" w:rsidP="00743644">
      <w:pPr>
        <w:pStyle w:val="Default"/>
        <w:numPr>
          <w:ilvl w:val="2"/>
          <w:numId w:val="31"/>
        </w:numPr>
        <w:ind w:left="1800"/>
        <w:rPr>
          <w:rFonts w:ascii="Georgia" w:hAnsi="Georgia" w:cs="Arial"/>
          <w:sz w:val="22"/>
          <w:szCs w:val="22"/>
        </w:rPr>
      </w:pPr>
      <w:r w:rsidRPr="0057094F">
        <w:rPr>
          <w:rFonts w:ascii="Georgia" w:hAnsi="Georgia"/>
          <w:sz w:val="22"/>
        </w:rPr>
        <w:t>Emerg</w:t>
      </w:r>
      <w:r>
        <w:rPr>
          <w:rFonts w:ascii="Georgia" w:hAnsi="Georgia"/>
          <w:sz w:val="22"/>
        </w:rPr>
        <w:t>ency Discharge Notices</w:t>
      </w:r>
    </w:p>
    <w:p w14:paraId="1AE21C18" w14:textId="77777777" w:rsidR="0057094F" w:rsidRPr="0057094F" w:rsidRDefault="0057094F" w:rsidP="00743644">
      <w:pPr>
        <w:pStyle w:val="Default"/>
        <w:numPr>
          <w:ilvl w:val="2"/>
          <w:numId w:val="31"/>
        </w:numPr>
        <w:ind w:left="1800"/>
        <w:rPr>
          <w:rFonts w:ascii="Georgia" w:hAnsi="Georgia" w:cs="Arial"/>
          <w:sz w:val="22"/>
          <w:szCs w:val="22"/>
        </w:rPr>
      </w:pPr>
      <w:r w:rsidRPr="0057094F">
        <w:rPr>
          <w:rFonts w:ascii="Georgia" w:hAnsi="Georgia"/>
          <w:sz w:val="22"/>
        </w:rPr>
        <w:t>Hospital Transfer Notices</w:t>
      </w:r>
    </w:p>
    <w:p w14:paraId="6F5C744C" w14:textId="77777777" w:rsidR="00527521" w:rsidRPr="00527521" w:rsidRDefault="00527521" w:rsidP="00743644">
      <w:pPr>
        <w:pStyle w:val="Default"/>
        <w:numPr>
          <w:ilvl w:val="3"/>
          <w:numId w:val="31"/>
        </w:numPr>
        <w:ind w:left="2520"/>
        <w:rPr>
          <w:rFonts w:ascii="Georgia" w:hAnsi="Georgia" w:cs="Arial"/>
          <w:bCs/>
          <w:sz w:val="22"/>
          <w:szCs w:val="22"/>
        </w:rPr>
      </w:pPr>
      <w:r w:rsidRPr="00527521">
        <w:rPr>
          <w:rFonts w:ascii="Georgia" w:hAnsi="Georgia"/>
          <w:sz w:val="22"/>
          <w:szCs w:val="22"/>
        </w:rPr>
        <w:t xml:space="preserve">The following are examples of what to put in the email subject line </w:t>
      </w:r>
      <w:r w:rsidRPr="00527521">
        <w:rPr>
          <w:rFonts w:ascii="Georgia" w:hAnsi="Georgia"/>
          <w:sz w:val="22"/>
          <w:szCs w:val="22"/>
        </w:rPr>
        <w:tab/>
      </w:r>
    </w:p>
    <w:p w14:paraId="48E66E90" w14:textId="77777777" w:rsidR="0057094F" w:rsidRPr="00527521" w:rsidRDefault="00527521" w:rsidP="00743644">
      <w:pPr>
        <w:pStyle w:val="Default"/>
        <w:numPr>
          <w:ilvl w:val="4"/>
          <w:numId w:val="31"/>
        </w:numPr>
        <w:ind w:left="2520"/>
        <w:rPr>
          <w:rFonts w:ascii="Georgia" w:hAnsi="Georgia" w:cs="Arial"/>
          <w:bCs/>
          <w:sz w:val="2"/>
          <w:szCs w:val="2"/>
        </w:rPr>
      </w:pPr>
      <w:r w:rsidRPr="00527521">
        <w:rPr>
          <w:rFonts w:ascii="Georgia" w:hAnsi="Georgia"/>
          <w:sz w:val="22"/>
          <w:szCs w:val="22"/>
        </w:rPr>
        <w:t>Proposed Transfer – Doe, John or</w:t>
      </w:r>
      <w:r w:rsidRPr="00527521">
        <w:rPr>
          <w:rFonts w:ascii="Georgia" w:hAnsi="Georgia" w:cs="Arial"/>
          <w:bCs/>
          <w:sz w:val="22"/>
          <w:szCs w:val="22"/>
        </w:rPr>
        <w:t xml:space="preserve"> </w:t>
      </w:r>
      <w:r w:rsidRPr="00527521">
        <w:rPr>
          <w:rFonts w:ascii="Georgia" w:hAnsi="Georgia"/>
          <w:sz w:val="22"/>
          <w:szCs w:val="22"/>
        </w:rPr>
        <w:t>Proposed Discharge– Doe, John</w:t>
      </w:r>
      <w:r w:rsidR="0057094F" w:rsidRPr="00527521">
        <w:rPr>
          <w:rFonts w:ascii="Georgia" w:hAnsi="Georgia" w:cs="Arial"/>
          <w:bCs/>
          <w:sz w:val="22"/>
          <w:szCs w:val="22"/>
        </w:rPr>
        <w:br/>
      </w:r>
    </w:p>
    <w:p w14:paraId="4B2C53F7" w14:textId="77777777" w:rsidR="006E0A7C" w:rsidRPr="00C61619" w:rsidRDefault="006E0A7C" w:rsidP="00743644">
      <w:pPr>
        <w:pStyle w:val="Default"/>
        <w:numPr>
          <w:ilvl w:val="0"/>
          <w:numId w:val="31"/>
        </w:numPr>
        <w:ind w:left="360"/>
        <w:rPr>
          <w:rFonts w:ascii="Georgia" w:hAnsi="Georgia" w:cs="Arial"/>
          <w:sz w:val="22"/>
          <w:szCs w:val="22"/>
        </w:rPr>
      </w:pPr>
      <w:r w:rsidRPr="00C61619">
        <w:rPr>
          <w:rFonts w:ascii="Georgia" w:hAnsi="Georgia" w:cs="Arial"/>
          <w:bCs/>
          <w:sz w:val="22"/>
          <w:szCs w:val="22"/>
        </w:rPr>
        <w:t xml:space="preserve">Resident-Initiated Transfers and Discharges </w:t>
      </w:r>
    </w:p>
    <w:p w14:paraId="7E9E19C5" w14:textId="77777777" w:rsidR="00BA3B2B" w:rsidRDefault="006E0A7C" w:rsidP="00743644">
      <w:pPr>
        <w:pStyle w:val="Default"/>
        <w:numPr>
          <w:ilvl w:val="1"/>
          <w:numId w:val="31"/>
        </w:numPr>
        <w:ind w:left="1080"/>
        <w:rPr>
          <w:rFonts w:ascii="Georgia" w:hAnsi="Georgia" w:cs="Arial"/>
          <w:sz w:val="22"/>
          <w:szCs w:val="22"/>
        </w:rPr>
        <w:sectPr w:rsidR="00BA3B2B" w:rsidSect="00BA3B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0" w:gutter="0"/>
          <w:cols w:space="720"/>
          <w:docGrid w:linePitch="360"/>
        </w:sectPr>
      </w:pPr>
      <w:r w:rsidRPr="00C61619">
        <w:rPr>
          <w:rFonts w:ascii="Georgia" w:hAnsi="Georgia" w:cs="Arial"/>
          <w:sz w:val="22"/>
          <w:szCs w:val="22"/>
        </w:rPr>
        <w:t xml:space="preserve">A resident-initiated transfer or discharge means the resident or, if appropriate, the resident representative has provided verbal or written notice of intent to leave </w:t>
      </w:r>
    </w:p>
    <w:p w14:paraId="124FA21D" w14:textId="77777777" w:rsidR="00081736" w:rsidRPr="00C61619" w:rsidRDefault="006E0A7C" w:rsidP="00743644">
      <w:pPr>
        <w:pStyle w:val="Default"/>
        <w:numPr>
          <w:ilvl w:val="1"/>
          <w:numId w:val="31"/>
        </w:numPr>
        <w:ind w:left="1080"/>
        <w:rPr>
          <w:rFonts w:ascii="Georgia" w:hAnsi="Georgia" w:cs="Arial"/>
          <w:sz w:val="22"/>
          <w:szCs w:val="22"/>
        </w:rPr>
      </w:pPr>
      <w:r w:rsidRPr="00C61619">
        <w:rPr>
          <w:rFonts w:ascii="Georgia" w:hAnsi="Georgia" w:cs="Arial"/>
          <w:sz w:val="22"/>
          <w:szCs w:val="22"/>
        </w:rPr>
        <w:lastRenderedPageBreak/>
        <w:t>the facility. The medical record must contain documentation or evidence of the resident’s or resident representative’s verbal or written notice of intent to leave the facility. A resident’s expression of a general desire or goal to return home or to the community or elopement of a resident who is cognitively impaired should not be taken as notice of intent to leave the facility. For resident-initiated transfers or discharges, sending a copy of the notice to the ombudsman is not required.</w:t>
      </w:r>
    </w:p>
    <w:p w14:paraId="140AFCA4" w14:textId="77777777" w:rsidR="00E07D14" w:rsidRPr="00C61619" w:rsidRDefault="00082324" w:rsidP="00743644">
      <w:pPr>
        <w:pStyle w:val="ListParagraph"/>
        <w:numPr>
          <w:ilvl w:val="0"/>
          <w:numId w:val="31"/>
        </w:numPr>
        <w:autoSpaceDE w:val="0"/>
        <w:autoSpaceDN w:val="0"/>
        <w:adjustRightInd w:val="0"/>
        <w:spacing w:after="74" w:line="240" w:lineRule="auto"/>
        <w:ind w:left="360"/>
        <w:rPr>
          <w:rFonts w:ascii="Georgia" w:hAnsi="Georgia"/>
        </w:rPr>
      </w:pPr>
      <w:r w:rsidRPr="00C61619">
        <w:rPr>
          <w:rFonts w:ascii="Georgia" w:hAnsi="Georgia" w:cs="Arial"/>
          <w:bCs/>
        </w:rPr>
        <w:t>Notice before transfer: the facility must:</w:t>
      </w:r>
    </w:p>
    <w:p w14:paraId="048AEBB6" w14:textId="77777777" w:rsidR="00186CF8" w:rsidRPr="00C61619" w:rsidRDefault="00186CF8" w:rsidP="00743644">
      <w:pPr>
        <w:pStyle w:val="ListParagraph"/>
        <w:numPr>
          <w:ilvl w:val="1"/>
          <w:numId w:val="31"/>
        </w:numPr>
        <w:autoSpaceDE w:val="0"/>
        <w:autoSpaceDN w:val="0"/>
        <w:adjustRightInd w:val="0"/>
        <w:spacing w:after="74" w:line="240" w:lineRule="auto"/>
        <w:ind w:left="1080"/>
        <w:rPr>
          <w:rFonts w:ascii="Georgia" w:hAnsi="Georgia" w:cs="Arial"/>
        </w:rPr>
      </w:pPr>
      <w:r w:rsidRPr="00C61619">
        <w:rPr>
          <w:rFonts w:ascii="Georgia" w:hAnsi="Georgia" w:cs="Arial"/>
          <w:bCs/>
        </w:rPr>
        <w:t>Notice must be made as soon as practicable bef</w:t>
      </w:r>
      <w:r w:rsidR="001C3485" w:rsidRPr="00C61619">
        <w:rPr>
          <w:rFonts w:ascii="Georgia" w:hAnsi="Georgia" w:cs="Arial"/>
          <w:bCs/>
        </w:rPr>
        <w:t>ore transfer or discharge.</w:t>
      </w:r>
    </w:p>
    <w:p w14:paraId="60814735" w14:textId="77777777" w:rsidR="00186CF8" w:rsidRPr="00C61619" w:rsidRDefault="00186CF8" w:rsidP="00743644">
      <w:pPr>
        <w:pStyle w:val="ListParagraph"/>
        <w:numPr>
          <w:ilvl w:val="1"/>
          <w:numId w:val="31"/>
        </w:numPr>
        <w:autoSpaceDE w:val="0"/>
        <w:autoSpaceDN w:val="0"/>
        <w:adjustRightInd w:val="0"/>
        <w:spacing w:after="77" w:line="240" w:lineRule="auto"/>
        <w:ind w:left="1080"/>
        <w:rPr>
          <w:rFonts w:ascii="Georgia" w:hAnsi="Georgia" w:cs="Arial"/>
        </w:rPr>
      </w:pPr>
      <w:r w:rsidRPr="00C61619">
        <w:rPr>
          <w:rFonts w:ascii="Georgia" w:hAnsi="Georgia" w:cs="Arial"/>
          <w:bCs/>
        </w:rPr>
        <w:t xml:space="preserve">Contents of the notice. </w:t>
      </w:r>
    </w:p>
    <w:p w14:paraId="5A95AEE5" w14:textId="77777777" w:rsidR="00186CF8" w:rsidRPr="00C61619" w:rsidRDefault="00186CF8" w:rsidP="00743644">
      <w:pPr>
        <w:pStyle w:val="ListParagraph"/>
        <w:numPr>
          <w:ilvl w:val="2"/>
          <w:numId w:val="31"/>
        </w:numPr>
        <w:autoSpaceDE w:val="0"/>
        <w:autoSpaceDN w:val="0"/>
        <w:adjustRightInd w:val="0"/>
        <w:spacing w:after="77" w:line="240" w:lineRule="auto"/>
        <w:ind w:left="1800"/>
        <w:rPr>
          <w:rFonts w:ascii="Georgia" w:hAnsi="Georgia" w:cs="Arial"/>
        </w:rPr>
      </w:pPr>
      <w:r w:rsidRPr="00C61619">
        <w:rPr>
          <w:rFonts w:ascii="Georgia" w:hAnsi="Georgia" w:cs="Arial"/>
          <w:bCs/>
        </w:rPr>
        <w:t xml:space="preserve">The written notice must include the following: </w:t>
      </w:r>
    </w:p>
    <w:p w14:paraId="3B635D96" w14:textId="77777777" w:rsidR="00186CF8" w:rsidRPr="00C61619" w:rsidRDefault="00186CF8" w:rsidP="00743644">
      <w:pPr>
        <w:pStyle w:val="ListParagraph"/>
        <w:numPr>
          <w:ilvl w:val="2"/>
          <w:numId w:val="31"/>
        </w:numPr>
        <w:autoSpaceDE w:val="0"/>
        <w:autoSpaceDN w:val="0"/>
        <w:adjustRightInd w:val="0"/>
        <w:spacing w:after="77" w:line="240" w:lineRule="auto"/>
        <w:ind w:left="1800"/>
        <w:rPr>
          <w:rFonts w:ascii="Georgia" w:hAnsi="Georgia" w:cs="Arial"/>
        </w:rPr>
      </w:pPr>
      <w:r w:rsidRPr="00C61619">
        <w:rPr>
          <w:rFonts w:ascii="Georgia" w:hAnsi="Georgia" w:cs="Arial"/>
          <w:bCs/>
        </w:rPr>
        <w:t xml:space="preserve">The reason for transfer or discharge; </w:t>
      </w:r>
    </w:p>
    <w:p w14:paraId="6E0A0786" w14:textId="77777777" w:rsidR="00186CF8" w:rsidRPr="00C61619" w:rsidRDefault="00186CF8" w:rsidP="00743644">
      <w:pPr>
        <w:pStyle w:val="ListParagraph"/>
        <w:numPr>
          <w:ilvl w:val="2"/>
          <w:numId w:val="31"/>
        </w:numPr>
        <w:autoSpaceDE w:val="0"/>
        <w:autoSpaceDN w:val="0"/>
        <w:adjustRightInd w:val="0"/>
        <w:spacing w:after="77" w:line="240" w:lineRule="auto"/>
        <w:ind w:left="1800"/>
        <w:rPr>
          <w:rFonts w:ascii="Georgia" w:hAnsi="Georgia" w:cs="Arial"/>
        </w:rPr>
      </w:pPr>
      <w:r w:rsidRPr="00C61619">
        <w:rPr>
          <w:rFonts w:ascii="Georgia" w:hAnsi="Georgia" w:cs="Arial"/>
          <w:bCs/>
        </w:rPr>
        <w:t xml:space="preserve">The effective date of transfer or discharge; </w:t>
      </w:r>
    </w:p>
    <w:p w14:paraId="11CF9D30" w14:textId="77777777" w:rsidR="00186CF8" w:rsidRPr="00C61619" w:rsidRDefault="00186CF8" w:rsidP="00743644">
      <w:pPr>
        <w:pStyle w:val="ListParagraph"/>
        <w:numPr>
          <w:ilvl w:val="2"/>
          <w:numId w:val="31"/>
        </w:numPr>
        <w:autoSpaceDE w:val="0"/>
        <w:autoSpaceDN w:val="0"/>
        <w:adjustRightInd w:val="0"/>
        <w:spacing w:after="77" w:line="240" w:lineRule="auto"/>
        <w:ind w:left="1800"/>
        <w:rPr>
          <w:rFonts w:ascii="Georgia" w:hAnsi="Georgia" w:cs="Arial"/>
        </w:rPr>
      </w:pPr>
      <w:r w:rsidRPr="00C61619">
        <w:rPr>
          <w:rFonts w:ascii="Georgia" w:hAnsi="Georgia" w:cs="Arial"/>
          <w:bCs/>
        </w:rPr>
        <w:t xml:space="preserve">The location to which the resident is transferred or discharged; </w:t>
      </w:r>
    </w:p>
    <w:p w14:paraId="64CDF781" w14:textId="77777777" w:rsidR="00186CF8" w:rsidRPr="00C61619" w:rsidRDefault="00186CF8" w:rsidP="00743644">
      <w:pPr>
        <w:pStyle w:val="ListParagraph"/>
        <w:numPr>
          <w:ilvl w:val="2"/>
          <w:numId w:val="31"/>
        </w:numPr>
        <w:autoSpaceDE w:val="0"/>
        <w:autoSpaceDN w:val="0"/>
        <w:adjustRightInd w:val="0"/>
        <w:spacing w:after="77" w:line="240" w:lineRule="auto"/>
        <w:ind w:left="1800"/>
        <w:rPr>
          <w:rFonts w:ascii="Georgia" w:hAnsi="Georgia" w:cs="Arial"/>
        </w:rPr>
      </w:pPr>
      <w:r w:rsidRPr="00C61619">
        <w:rPr>
          <w:rFonts w:ascii="Georgia" w:hAnsi="Georgia" w:cs="Arial"/>
          <w:bCs/>
        </w:rPr>
        <w:t xml:space="preserve">A statement of the resident’s appeal </w:t>
      </w:r>
      <w:r w:rsidRPr="00C61619">
        <w:rPr>
          <w:rFonts w:ascii="Georgia" w:hAnsi="Georgia" w:cs="Arial"/>
          <w:bCs/>
          <w:iCs/>
        </w:rPr>
        <w:t xml:space="preserve">rights, including the name, address (mailing and email), and telephone number of the entity which receives such requests; and information on how to obtain an appeal form and assistance in completing the form and submitting the appeal hearing request; </w:t>
      </w:r>
    </w:p>
    <w:p w14:paraId="4C9CEB20" w14:textId="77777777" w:rsidR="00186CF8" w:rsidRPr="00C61619" w:rsidRDefault="00186CF8" w:rsidP="00743644">
      <w:pPr>
        <w:pStyle w:val="ListParagraph"/>
        <w:numPr>
          <w:ilvl w:val="2"/>
          <w:numId w:val="31"/>
        </w:numPr>
        <w:autoSpaceDE w:val="0"/>
        <w:autoSpaceDN w:val="0"/>
        <w:adjustRightInd w:val="0"/>
        <w:spacing w:after="77" w:line="240" w:lineRule="auto"/>
        <w:ind w:left="1800"/>
        <w:rPr>
          <w:rFonts w:ascii="Georgia" w:hAnsi="Georgia" w:cs="Arial"/>
        </w:rPr>
      </w:pPr>
      <w:r w:rsidRPr="00C61619">
        <w:rPr>
          <w:rFonts w:ascii="Georgia" w:hAnsi="Georgia" w:cs="Arial"/>
          <w:bCs/>
        </w:rPr>
        <w:t xml:space="preserve">The name, address </w:t>
      </w:r>
      <w:r w:rsidRPr="00C61619">
        <w:rPr>
          <w:rFonts w:ascii="Georgia" w:hAnsi="Georgia" w:cs="Arial"/>
          <w:bCs/>
          <w:iCs/>
        </w:rPr>
        <w:t xml:space="preserve">(mailing and email) </w:t>
      </w:r>
      <w:r w:rsidRPr="00C61619">
        <w:rPr>
          <w:rFonts w:ascii="Georgia" w:hAnsi="Georgia" w:cs="Arial"/>
          <w:bCs/>
        </w:rPr>
        <w:t xml:space="preserve">and telephone number of </w:t>
      </w:r>
      <w:r w:rsidRPr="00C61619">
        <w:rPr>
          <w:rFonts w:ascii="Georgia" w:hAnsi="Georgia" w:cs="Arial"/>
          <w:bCs/>
          <w:iCs/>
        </w:rPr>
        <w:t xml:space="preserve">the Office of the </w:t>
      </w:r>
      <w:r w:rsidRPr="00C61619">
        <w:rPr>
          <w:rFonts w:ascii="Georgia" w:hAnsi="Georgia" w:cs="Arial"/>
          <w:bCs/>
        </w:rPr>
        <w:t xml:space="preserve">State </w:t>
      </w:r>
      <w:r w:rsidRPr="00C61619">
        <w:rPr>
          <w:rFonts w:ascii="Georgia" w:hAnsi="Georgia" w:cs="Arial"/>
          <w:bCs/>
          <w:iCs/>
        </w:rPr>
        <w:t>L</w:t>
      </w:r>
      <w:r w:rsidRPr="00C61619">
        <w:rPr>
          <w:rFonts w:ascii="Georgia" w:hAnsi="Georgia" w:cs="Arial"/>
          <w:bCs/>
        </w:rPr>
        <w:t>ong-</w:t>
      </w:r>
      <w:r w:rsidRPr="00C61619">
        <w:rPr>
          <w:rFonts w:ascii="Georgia" w:hAnsi="Georgia" w:cs="Arial"/>
          <w:bCs/>
          <w:iCs/>
        </w:rPr>
        <w:t>T</w:t>
      </w:r>
      <w:r w:rsidRPr="00C61619">
        <w:rPr>
          <w:rFonts w:ascii="Georgia" w:hAnsi="Georgia" w:cs="Arial"/>
          <w:bCs/>
        </w:rPr>
        <w:t xml:space="preserve">erm </w:t>
      </w:r>
      <w:r w:rsidRPr="00C61619">
        <w:rPr>
          <w:rFonts w:ascii="Georgia" w:hAnsi="Georgia" w:cs="Arial"/>
          <w:bCs/>
          <w:iCs/>
        </w:rPr>
        <w:t>C</w:t>
      </w:r>
      <w:r w:rsidRPr="00C61619">
        <w:rPr>
          <w:rFonts w:ascii="Georgia" w:hAnsi="Georgia" w:cs="Arial"/>
          <w:bCs/>
        </w:rPr>
        <w:t xml:space="preserve">are </w:t>
      </w:r>
      <w:r w:rsidRPr="00C61619">
        <w:rPr>
          <w:rFonts w:ascii="Georgia" w:hAnsi="Georgia" w:cs="Arial"/>
          <w:bCs/>
          <w:iCs/>
        </w:rPr>
        <w:t>O</w:t>
      </w:r>
      <w:r w:rsidRPr="00C61619">
        <w:rPr>
          <w:rFonts w:ascii="Georgia" w:hAnsi="Georgia" w:cs="Arial"/>
          <w:bCs/>
        </w:rPr>
        <w:t xml:space="preserve">mbudsman; </w:t>
      </w:r>
    </w:p>
    <w:p w14:paraId="3AF50D9B" w14:textId="77777777" w:rsidR="00E07D14" w:rsidRPr="00C61619" w:rsidRDefault="00186CF8" w:rsidP="00743644">
      <w:pPr>
        <w:pStyle w:val="ListParagraph"/>
        <w:numPr>
          <w:ilvl w:val="2"/>
          <w:numId w:val="31"/>
        </w:numPr>
        <w:autoSpaceDE w:val="0"/>
        <w:autoSpaceDN w:val="0"/>
        <w:adjustRightInd w:val="0"/>
        <w:spacing w:after="77" w:line="240" w:lineRule="auto"/>
        <w:ind w:left="1800"/>
        <w:rPr>
          <w:rFonts w:ascii="Georgia" w:hAnsi="Georgia" w:cs="Arial"/>
        </w:rPr>
      </w:pPr>
      <w:r w:rsidRPr="00C61619">
        <w:rPr>
          <w:rFonts w:ascii="Georgia" w:hAnsi="Georgia" w:cs="Arial"/>
          <w:bCs/>
        </w:rPr>
        <w:t xml:space="preserve">For nursing facility residents with </w:t>
      </w:r>
      <w:r w:rsidRPr="00C61619">
        <w:rPr>
          <w:rFonts w:ascii="Georgia" w:hAnsi="Georgia" w:cs="Arial"/>
          <w:bCs/>
          <w:iCs/>
        </w:rPr>
        <w:t xml:space="preserve">intellectual and </w:t>
      </w:r>
      <w:r w:rsidRPr="00C61619">
        <w:rPr>
          <w:rFonts w:ascii="Georgia" w:hAnsi="Georgia" w:cs="Arial"/>
          <w:bCs/>
        </w:rPr>
        <w:t xml:space="preserve">developmental disabilities </w:t>
      </w:r>
      <w:r w:rsidRPr="00C61619">
        <w:rPr>
          <w:rFonts w:ascii="Georgia" w:hAnsi="Georgia" w:cs="Arial"/>
          <w:bCs/>
          <w:iCs/>
        </w:rPr>
        <w:t xml:space="preserve">or related disabilities, </w:t>
      </w:r>
      <w:r w:rsidRPr="00C61619">
        <w:rPr>
          <w:rFonts w:ascii="Georgia" w:hAnsi="Georgia" w:cs="Arial"/>
          <w:bCs/>
        </w:rPr>
        <w:t xml:space="preserve">the mailing </w:t>
      </w:r>
      <w:r w:rsidRPr="00C61619">
        <w:rPr>
          <w:rFonts w:ascii="Georgia" w:hAnsi="Georgia" w:cs="Arial"/>
          <w:bCs/>
          <w:iCs/>
        </w:rPr>
        <w:t xml:space="preserve">and email </w:t>
      </w:r>
      <w:r w:rsidRPr="00C61619">
        <w:rPr>
          <w:rFonts w:ascii="Georgia" w:hAnsi="Georgia" w:cs="Arial"/>
          <w:bCs/>
        </w:rPr>
        <w:t xml:space="preserve">address and telephone number of the agency responsible for the protection and advocacy of individuals </w:t>
      </w:r>
      <w:r w:rsidRPr="00C61619">
        <w:rPr>
          <w:rFonts w:ascii="Georgia" w:hAnsi="Georgia" w:cs="Arial"/>
          <w:bCs/>
          <w:iCs/>
        </w:rPr>
        <w:t xml:space="preserve">with developmental disabilities; </w:t>
      </w:r>
      <w:r w:rsidRPr="00C61619">
        <w:rPr>
          <w:rFonts w:ascii="Georgia" w:hAnsi="Georgia" w:cs="Arial"/>
          <w:bCs/>
        </w:rPr>
        <w:t xml:space="preserve">and </w:t>
      </w:r>
    </w:p>
    <w:p w14:paraId="6617CB1F" w14:textId="77777777" w:rsidR="00186CF8" w:rsidRPr="00C61619" w:rsidRDefault="00186CF8" w:rsidP="00743644">
      <w:pPr>
        <w:pStyle w:val="ListParagraph"/>
        <w:numPr>
          <w:ilvl w:val="2"/>
          <w:numId w:val="31"/>
        </w:numPr>
        <w:autoSpaceDE w:val="0"/>
        <w:autoSpaceDN w:val="0"/>
        <w:adjustRightInd w:val="0"/>
        <w:spacing w:after="77" w:line="240" w:lineRule="auto"/>
        <w:ind w:left="1800"/>
        <w:rPr>
          <w:rFonts w:ascii="Georgia" w:hAnsi="Georgia" w:cs="Arial"/>
        </w:rPr>
      </w:pPr>
      <w:r w:rsidRPr="00C61619">
        <w:rPr>
          <w:rFonts w:ascii="Georgia" w:hAnsi="Georgia" w:cs="Arial"/>
          <w:bCs/>
        </w:rPr>
        <w:t xml:space="preserve">For nursing facility residents </w:t>
      </w:r>
      <w:r w:rsidRPr="00C61619">
        <w:rPr>
          <w:rFonts w:ascii="Georgia" w:hAnsi="Georgia" w:cs="Arial"/>
          <w:bCs/>
          <w:iCs/>
        </w:rPr>
        <w:t xml:space="preserve">with a </w:t>
      </w:r>
      <w:r w:rsidRPr="00C61619">
        <w:rPr>
          <w:rFonts w:ascii="Georgia" w:hAnsi="Georgia" w:cs="Arial"/>
          <w:bCs/>
        </w:rPr>
        <w:t xml:space="preserve">mental </w:t>
      </w:r>
      <w:r w:rsidRPr="00C61619">
        <w:rPr>
          <w:rFonts w:ascii="Georgia" w:hAnsi="Georgia" w:cs="Arial"/>
          <w:bCs/>
          <w:iCs/>
        </w:rPr>
        <w:t>disorder or related disabilities</w:t>
      </w:r>
      <w:r w:rsidRPr="00C61619">
        <w:rPr>
          <w:rFonts w:ascii="Georgia" w:hAnsi="Georgia" w:cs="Arial"/>
          <w:bCs/>
        </w:rPr>
        <w:t xml:space="preserve">, the mailing </w:t>
      </w:r>
      <w:r w:rsidRPr="00C61619">
        <w:rPr>
          <w:rFonts w:ascii="Georgia" w:hAnsi="Georgia" w:cs="Arial"/>
          <w:bCs/>
          <w:iCs/>
        </w:rPr>
        <w:t xml:space="preserve">and email </w:t>
      </w:r>
      <w:r w:rsidRPr="00C61619">
        <w:rPr>
          <w:rFonts w:ascii="Georgia" w:hAnsi="Georgia" w:cs="Arial"/>
          <w:bCs/>
        </w:rPr>
        <w:t xml:space="preserve">address and telephone number of the agency responsible for the protection and advocacy of individuals </w:t>
      </w:r>
      <w:r w:rsidRPr="00C61619">
        <w:rPr>
          <w:rFonts w:ascii="Georgia" w:hAnsi="Georgia" w:cs="Arial"/>
          <w:bCs/>
          <w:iCs/>
        </w:rPr>
        <w:t xml:space="preserve">with a mental disorder </w:t>
      </w:r>
      <w:r w:rsidRPr="00C61619">
        <w:rPr>
          <w:rFonts w:ascii="Georgia" w:hAnsi="Georgia" w:cs="Arial"/>
          <w:bCs/>
        </w:rPr>
        <w:t>established under the Protection and Advocacy for Mentally Ill Individuals Act.</w:t>
      </w:r>
      <w:r w:rsidRPr="00C61619">
        <w:rPr>
          <w:rFonts w:ascii="Georgia" w:hAnsi="Georgia" w:cs="Arial"/>
          <w:bCs/>
          <w:highlight w:val="yellow"/>
        </w:rPr>
        <w:t xml:space="preserve"> </w:t>
      </w:r>
    </w:p>
    <w:p w14:paraId="39D85FF8" w14:textId="77777777" w:rsidR="00186CF8" w:rsidRPr="00C61619" w:rsidRDefault="00186CF8" w:rsidP="00743644">
      <w:pPr>
        <w:pStyle w:val="ListParagraph"/>
        <w:numPr>
          <w:ilvl w:val="1"/>
          <w:numId w:val="31"/>
        </w:numPr>
        <w:autoSpaceDE w:val="0"/>
        <w:autoSpaceDN w:val="0"/>
        <w:adjustRightInd w:val="0"/>
        <w:spacing w:after="77" w:line="240" w:lineRule="auto"/>
        <w:ind w:left="1080"/>
        <w:rPr>
          <w:rFonts w:ascii="Georgia" w:hAnsi="Georgia" w:cs="Arial"/>
        </w:rPr>
      </w:pPr>
      <w:r w:rsidRPr="00C61619">
        <w:rPr>
          <w:rFonts w:ascii="Georgia" w:hAnsi="Georgia" w:cs="Arial"/>
          <w:bCs/>
          <w:iCs/>
        </w:rPr>
        <w:t xml:space="preserve">Changes to the notice. </w:t>
      </w:r>
    </w:p>
    <w:p w14:paraId="3CE682AA" w14:textId="77777777" w:rsidR="00186CF8" w:rsidRPr="00C61619" w:rsidRDefault="00186CF8" w:rsidP="00743644">
      <w:pPr>
        <w:pStyle w:val="ListParagraph"/>
        <w:numPr>
          <w:ilvl w:val="2"/>
          <w:numId w:val="31"/>
        </w:numPr>
        <w:autoSpaceDE w:val="0"/>
        <w:autoSpaceDN w:val="0"/>
        <w:adjustRightInd w:val="0"/>
        <w:spacing w:after="77" w:line="240" w:lineRule="auto"/>
        <w:ind w:left="1800"/>
        <w:rPr>
          <w:rFonts w:ascii="Georgia" w:hAnsi="Georgia" w:cs="Arial"/>
        </w:rPr>
      </w:pPr>
      <w:r w:rsidRPr="00C61619">
        <w:rPr>
          <w:rFonts w:ascii="Georgia" w:hAnsi="Georgia" w:cs="Arial"/>
          <w:bCs/>
          <w:iCs/>
        </w:rPr>
        <w:t xml:space="preserve">If the information in the notice changes prior to effecting the transfer or discharge, the facility must update the recipients of the notice as soon as practicable once the updated information becomes available. </w:t>
      </w:r>
    </w:p>
    <w:p w14:paraId="722F77DD" w14:textId="77777777" w:rsidR="00DC7EA6" w:rsidRPr="00C61619" w:rsidRDefault="00186CF8" w:rsidP="00743644">
      <w:pPr>
        <w:pStyle w:val="ListParagraph"/>
        <w:numPr>
          <w:ilvl w:val="1"/>
          <w:numId w:val="31"/>
        </w:numPr>
        <w:autoSpaceDE w:val="0"/>
        <w:autoSpaceDN w:val="0"/>
        <w:adjustRightInd w:val="0"/>
        <w:spacing w:after="0" w:line="240" w:lineRule="auto"/>
        <w:ind w:left="1080"/>
        <w:rPr>
          <w:rFonts w:ascii="Georgia" w:hAnsi="Georgia" w:cs="Arial"/>
        </w:rPr>
      </w:pPr>
      <w:r w:rsidRPr="00C61619">
        <w:rPr>
          <w:rFonts w:ascii="Georgia" w:hAnsi="Georgia" w:cs="Arial"/>
          <w:bCs/>
          <w:iCs/>
        </w:rPr>
        <w:t xml:space="preserve">Notice in advance of facility closure. </w:t>
      </w:r>
    </w:p>
    <w:p w14:paraId="22165DC3" w14:textId="77777777" w:rsidR="00DC7EA6" w:rsidRPr="00C61619" w:rsidRDefault="00186CF8" w:rsidP="00743644">
      <w:pPr>
        <w:pStyle w:val="ListParagraph"/>
        <w:numPr>
          <w:ilvl w:val="2"/>
          <w:numId w:val="31"/>
        </w:numPr>
        <w:autoSpaceDE w:val="0"/>
        <w:autoSpaceDN w:val="0"/>
        <w:adjustRightInd w:val="0"/>
        <w:spacing w:after="0" w:line="240" w:lineRule="auto"/>
        <w:ind w:left="1800"/>
        <w:rPr>
          <w:rFonts w:ascii="Georgia" w:hAnsi="Georgia" w:cs="Arial"/>
        </w:rPr>
      </w:pPr>
      <w:r w:rsidRPr="00C61619">
        <w:rPr>
          <w:rFonts w:ascii="Georgia" w:hAnsi="Georgia" w:cs="Arial"/>
          <w:bCs/>
          <w:iCs/>
        </w:rPr>
        <w:t>In the case of facility closure, the individual who is the administrator of the facility must provide written notification prior to the impending closure to the State Survey Agency, the Office of the State Long-Term Care Ombudsman, residents of the facility, and the resident representatives, as well as the plan for the transfer and adequate relocation of the residents</w:t>
      </w:r>
      <w:r w:rsidR="00DC7EA6" w:rsidRPr="00C61619">
        <w:rPr>
          <w:rFonts w:ascii="Georgia" w:hAnsi="Georgia" w:cs="Arial"/>
          <w:bCs/>
          <w:iCs/>
        </w:rPr>
        <w:t>.</w:t>
      </w:r>
    </w:p>
    <w:p w14:paraId="4F17BAB6" w14:textId="77777777" w:rsidR="00DC7EA6" w:rsidRPr="00C61619" w:rsidRDefault="00DC7EA6" w:rsidP="00743644">
      <w:pPr>
        <w:pStyle w:val="ListParagraph"/>
        <w:numPr>
          <w:ilvl w:val="1"/>
          <w:numId w:val="31"/>
        </w:numPr>
        <w:autoSpaceDE w:val="0"/>
        <w:autoSpaceDN w:val="0"/>
        <w:adjustRightInd w:val="0"/>
        <w:spacing w:after="0" w:line="240" w:lineRule="auto"/>
        <w:ind w:left="1080"/>
        <w:rPr>
          <w:rFonts w:ascii="Georgia" w:hAnsi="Georgia" w:cs="Arial"/>
        </w:rPr>
      </w:pPr>
      <w:r w:rsidRPr="00C61619">
        <w:rPr>
          <w:rFonts w:ascii="Georgia" w:hAnsi="Georgia" w:cs="Arial"/>
          <w:bCs/>
        </w:rPr>
        <w:t xml:space="preserve">Orientation for </w:t>
      </w:r>
      <w:r w:rsidRPr="00C61619">
        <w:rPr>
          <w:rFonts w:ascii="Georgia" w:hAnsi="Georgia" w:cs="Arial"/>
          <w:bCs/>
          <w:iCs/>
        </w:rPr>
        <w:t>t</w:t>
      </w:r>
      <w:r w:rsidRPr="00C61619">
        <w:rPr>
          <w:rFonts w:ascii="Georgia" w:hAnsi="Georgia" w:cs="Arial"/>
          <w:bCs/>
        </w:rPr>
        <w:t xml:space="preserve">ransfer or </w:t>
      </w:r>
      <w:r w:rsidRPr="00C61619">
        <w:rPr>
          <w:rFonts w:ascii="Georgia" w:hAnsi="Georgia" w:cs="Arial"/>
          <w:bCs/>
          <w:iCs/>
        </w:rPr>
        <w:t>d</w:t>
      </w:r>
      <w:r w:rsidRPr="00C61619">
        <w:rPr>
          <w:rFonts w:ascii="Georgia" w:hAnsi="Georgia" w:cs="Arial"/>
          <w:bCs/>
        </w:rPr>
        <w:t xml:space="preserve">ischarge. </w:t>
      </w:r>
    </w:p>
    <w:p w14:paraId="5C62ACC9" w14:textId="77777777" w:rsidR="00DC7EA6" w:rsidRPr="00C61619" w:rsidRDefault="00C61619" w:rsidP="00743644">
      <w:pPr>
        <w:pStyle w:val="ListParagraph"/>
        <w:numPr>
          <w:ilvl w:val="2"/>
          <w:numId w:val="31"/>
        </w:numPr>
        <w:autoSpaceDE w:val="0"/>
        <w:autoSpaceDN w:val="0"/>
        <w:adjustRightInd w:val="0"/>
        <w:spacing w:after="0" w:line="240" w:lineRule="auto"/>
        <w:ind w:left="1800"/>
        <w:rPr>
          <w:rFonts w:ascii="Georgia" w:hAnsi="Georgia" w:cs="Arial"/>
        </w:rPr>
      </w:pPr>
      <w:r w:rsidRPr="00C61619">
        <w:rPr>
          <w:rFonts w:ascii="Georgia" w:hAnsi="Georgia" w:cs="Arial"/>
          <w:bCs/>
        </w:rPr>
        <w:t>The f</w:t>
      </w:r>
      <w:r w:rsidR="00DC7EA6" w:rsidRPr="00C61619">
        <w:rPr>
          <w:rFonts w:ascii="Georgia" w:hAnsi="Georgia" w:cs="Arial"/>
          <w:bCs/>
        </w:rPr>
        <w:t xml:space="preserve">acility must provide and document sufficient preparation and orientation to residents to ensure safe and orderly transfer or discharge from the facility. </w:t>
      </w:r>
      <w:r w:rsidR="00DC7EA6" w:rsidRPr="00C61619">
        <w:rPr>
          <w:rFonts w:ascii="Georgia" w:hAnsi="Georgia" w:cs="Arial"/>
          <w:bCs/>
          <w:iCs/>
        </w:rPr>
        <w:t>This orientation must be provided in a form and manner that the resident can understand.</w:t>
      </w:r>
    </w:p>
    <w:p w14:paraId="508B7E99" w14:textId="77777777" w:rsidR="00DC7EA6" w:rsidRPr="00C61619" w:rsidRDefault="00DC7EA6" w:rsidP="00743644">
      <w:pPr>
        <w:pStyle w:val="ListParagraph"/>
        <w:numPr>
          <w:ilvl w:val="0"/>
          <w:numId w:val="31"/>
        </w:numPr>
        <w:autoSpaceDE w:val="0"/>
        <w:autoSpaceDN w:val="0"/>
        <w:adjustRightInd w:val="0"/>
        <w:spacing w:after="0" w:line="240" w:lineRule="auto"/>
        <w:ind w:left="360"/>
        <w:rPr>
          <w:rFonts w:ascii="Georgia" w:hAnsi="Georgia" w:cs="Arial"/>
        </w:rPr>
      </w:pPr>
      <w:r w:rsidRPr="00C61619">
        <w:rPr>
          <w:rFonts w:ascii="Georgia" w:hAnsi="Georgia" w:cs="Arial"/>
          <w:bCs/>
        </w:rPr>
        <w:t xml:space="preserve">Notice of </w:t>
      </w:r>
      <w:r w:rsidRPr="00C61619">
        <w:rPr>
          <w:rFonts w:ascii="Georgia" w:hAnsi="Georgia" w:cs="Arial"/>
          <w:bCs/>
          <w:iCs/>
        </w:rPr>
        <w:t>b</w:t>
      </w:r>
      <w:r w:rsidRPr="00C61619">
        <w:rPr>
          <w:rFonts w:ascii="Georgia" w:hAnsi="Georgia" w:cs="Arial"/>
          <w:bCs/>
        </w:rPr>
        <w:t>ed-</w:t>
      </w:r>
      <w:r w:rsidRPr="00C61619">
        <w:rPr>
          <w:rFonts w:ascii="Georgia" w:hAnsi="Georgia" w:cs="Arial"/>
          <w:bCs/>
          <w:iCs/>
        </w:rPr>
        <w:t>h</w:t>
      </w:r>
      <w:r w:rsidRPr="00C61619">
        <w:rPr>
          <w:rFonts w:ascii="Georgia" w:hAnsi="Georgia" w:cs="Arial"/>
          <w:bCs/>
        </w:rPr>
        <w:t xml:space="preserve">old </w:t>
      </w:r>
      <w:r w:rsidRPr="00C61619">
        <w:rPr>
          <w:rFonts w:ascii="Georgia" w:hAnsi="Georgia" w:cs="Arial"/>
          <w:bCs/>
          <w:iCs/>
        </w:rPr>
        <w:t>p</w:t>
      </w:r>
      <w:r w:rsidRPr="00C61619">
        <w:rPr>
          <w:rFonts w:ascii="Georgia" w:hAnsi="Georgia" w:cs="Arial"/>
          <w:bCs/>
        </w:rPr>
        <w:t xml:space="preserve">olicy and </w:t>
      </w:r>
      <w:r w:rsidRPr="00C61619">
        <w:rPr>
          <w:rFonts w:ascii="Georgia" w:hAnsi="Georgia" w:cs="Arial"/>
          <w:bCs/>
          <w:iCs/>
        </w:rPr>
        <w:t>return</w:t>
      </w:r>
      <w:r w:rsidRPr="00C61619">
        <w:rPr>
          <w:rFonts w:ascii="Georgia" w:hAnsi="Georgia" w:cs="Arial"/>
          <w:bCs/>
        </w:rPr>
        <w:t>:</w:t>
      </w:r>
    </w:p>
    <w:p w14:paraId="12849CC9" w14:textId="77777777" w:rsidR="00DC7EA6" w:rsidRPr="00C61619" w:rsidRDefault="00DC7EA6" w:rsidP="00743644">
      <w:pPr>
        <w:pStyle w:val="ListParagraph"/>
        <w:numPr>
          <w:ilvl w:val="1"/>
          <w:numId w:val="31"/>
        </w:numPr>
        <w:autoSpaceDE w:val="0"/>
        <w:autoSpaceDN w:val="0"/>
        <w:adjustRightInd w:val="0"/>
        <w:spacing w:after="0" w:line="240" w:lineRule="auto"/>
        <w:ind w:left="1080"/>
        <w:rPr>
          <w:rFonts w:ascii="Georgia" w:hAnsi="Georgia" w:cs="Arial"/>
        </w:rPr>
      </w:pPr>
      <w:r w:rsidRPr="00C61619">
        <w:rPr>
          <w:rFonts w:ascii="Georgia" w:hAnsi="Georgia" w:cs="Arial"/>
          <w:bCs/>
        </w:rPr>
        <w:t xml:space="preserve">Notice before transfer. </w:t>
      </w:r>
    </w:p>
    <w:p w14:paraId="047F7F66" w14:textId="77777777" w:rsidR="00DC7EA6" w:rsidRPr="00C61619" w:rsidRDefault="00DC7EA6" w:rsidP="00743644">
      <w:pPr>
        <w:pStyle w:val="ListParagraph"/>
        <w:numPr>
          <w:ilvl w:val="2"/>
          <w:numId w:val="31"/>
        </w:numPr>
        <w:autoSpaceDE w:val="0"/>
        <w:autoSpaceDN w:val="0"/>
        <w:adjustRightInd w:val="0"/>
        <w:spacing w:after="0" w:line="240" w:lineRule="auto"/>
        <w:ind w:left="1800"/>
        <w:rPr>
          <w:rFonts w:ascii="Georgia" w:hAnsi="Georgia" w:cs="Arial"/>
        </w:rPr>
      </w:pPr>
      <w:r w:rsidRPr="00C61619">
        <w:rPr>
          <w:rFonts w:ascii="Georgia" w:hAnsi="Georgia" w:cs="Arial"/>
          <w:bCs/>
        </w:rPr>
        <w:t xml:space="preserve">Before a nursing facility transfers a resident to a hospital or the resident goes on therapeutic leave, the nursing facility must provide written information to the resident </w:t>
      </w:r>
      <w:r w:rsidRPr="00C61619">
        <w:rPr>
          <w:rFonts w:ascii="Georgia" w:hAnsi="Georgia" w:cs="Arial"/>
          <w:bCs/>
          <w:iCs/>
        </w:rPr>
        <w:t xml:space="preserve">or resident representative </w:t>
      </w:r>
      <w:r w:rsidRPr="00C61619">
        <w:rPr>
          <w:rFonts w:ascii="Georgia" w:hAnsi="Georgia" w:cs="Arial"/>
          <w:bCs/>
        </w:rPr>
        <w:t>that specifies:</w:t>
      </w:r>
    </w:p>
    <w:p w14:paraId="2A471E42" w14:textId="77777777" w:rsidR="00DC7EA6" w:rsidRPr="00C61619" w:rsidRDefault="00DC7EA6" w:rsidP="00743644">
      <w:pPr>
        <w:pStyle w:val="ListParagraph"/>
        <w:numPr>
          <w:ilvl w:val="3"/>
          <w:numId w:val="31"/>
        </w:numPr>
        <w:autoSpaceDE w:val="0"/>
        <w:autoSpaceDN w:val="0"/>
        <w:adjustRightInd w:val="0"/>
        <w:spacing w:after="0" w:line="240" w:lineRule="auto"/>
        <w:ind w:left="2520"/>
        <w:rPr>
          <w:rFonts w:ascii="Georgia" w:hAnsi="Georgia" w:cs="Arial"/>
        </w:rPr>
      </w:pPr>
      <w:r w:rsidRPr="00C61619">
        <w:rPr>
          <w:rFonts w:ascii="Georgia" w:hAnsi="Georgia" w:cs="Arial"/>
          <w:bCs/>
        </w:rPr>
        <w:t xml:space="preserve">The duration of the </w:t>
      </w:r>
      <w:r w:rsidRPr="00C61619">
        <w:rPr>
          <w:rFonts w:ascii="Georgia" w:hAnsi="Georgia" w:cs="Arial"/>
          <w:bCs/>
          <w:iCs/>
        </w:rPr>
        <w:t xml:space="preserve">state </w:t>
      </w:r>
      <w:r w:rsidRPr="00C61619">
        <w:rPr>
          <w:rFonts w:ascii="Georgia" w:hAnsi="Georgia" w:cs="Arial"/>
          <w:bCs/>
        </w:rPr>
        <w:t xml:space="preserve">bed-hold policy, if any, during which the resident is permitted to return and resume residence in the nursing facility; </w:t>
      </w:r>
    </w:p>
    <w:p w14:paraId="05609848" w14:textId="77777777" w:rsidR="00DC7EA6" w:rsidRPr="00C61619" w:rsidRDefault="00DC7EA6" w:rsidP="00743644">
      <w:pPr>
        <w:pStyle w:val="ListParagraph"/>
        <w:numPr>
          <w:ilvl w:val="3"/>
          <w:numId w:val="31"/>
        </w:numPr>
        <w:autoSpaceDE w:val="0"/>
        <w:autoSpaceDN w:val="0"/>
        <w:adjustRightInd w:val="0"/>
        <w:spacing w:after="0" w:line="240" w:lineRule="auto"/>
        <w:ind w:left="2520"/>
        <w:rPr>
          <w:rFonts w:ascii="Georgia" w:hAnsi="Georgia" w:cs="Arial"/>
        </w:rPr>
      </w:pPr>
      <w:r w:rsidRPr="00C61619">
        <w:rPr>
          <w:rFonts w:ascii="Georgia" w:hAnsi="Georgia" w:cs="Arial"/>
          <w:bCs/>
        </w:rPr>
        <w:lastRenderedPageBreak/>
        <w:t>The nursing facility’s policies regarding bed-hold periods, which permit a resident to return</w:t>
      </w:r>
    </w:p>
    <w:p w14:paraId="65BEAE83" w14:textId="77777777" w:rsidR="00DC7EA6" w:rsidRPr="00C61619" w:rsidRDefault="00DC7EA6" w:rsidP="00743644">
      <w:pPr>
        <w:pStyle w:val="ListParagraph"/>
        <w:numPr>
          <w:ilvl w:val="1"/>
          <w:numId w:val="31"/>
        </w:numPr>
        <w:autoSpaceDE w:val="0"/>
        <w:autoSpaceDN w:val="0"/>
        <w:adjustRightInd w:val="0"/>
        <w:spacing w:after="0" w:line="240" w:lineRule="auto"/>
        <w:ind w:left="1080"/>
        <w:rPr>
          <w:rFonts w:ascii="Georgia" w:hAnsi="Georgia" w:cs="Arial"/>
        </w:rPr>
      </w:pPr>
      <w:r w:rsidRPr="00C61619">
        <w:rPr>
          <w:rFonts w:ascii="Georgia" w:hAnsi="Georgia" w:cs="Arial"/>
          <w:bCs/>
        </w:rPr>
        <w:t xml:space="preserve">Bed-hold notice upon transfer. </w:t>
      </w:r>
    </w:p>
    <w:p w14:paraId="5F39C5CF" w14:textId="77777777" w:rsidR="000B630E" w:rsidRPr="00C61619" w:rsidRDefault="00DC7EA6" w:rsidP="00743644">
      <w:pPr>
        <w:pStyle w:val="ListParagraph"/>
        <w:numPr>
          <w:ilvl w:val="2"/>
          <w:numId w:val="31"/>
        </w:numPr>
        <w:autoSpaceDE w:val="0"/>
        <w:autoSpaceDN w:val="0"/>
        <w:adjustRightInd w:val="0"/>
        <w:spacing w:after="0" w:line="240" w:lineRule="auto"/>
        <w:ind w:left="1800"/>
        <w:rPr>
          <w:rFonts w:ascii="Georgia" w:hAnsi="Georgia" w:cs="Arial"/>
        </w:rPr>
      </w:pPr>
      <w:r w:rsidRPr="00C61619">
        <w:rPr>
          <w:rFonts w:ascii="Georgia" w:hAnsi="Georgia" w:cs="Arial"/>
          <w:bCs/>
        </w:rPr>
        <w:t xml:space="preserve">At the time of transfer of a resident for hospitalization or therapeutic leave, a nursing facility must provide to the resident and </w:t>
      </w:r>
      <w:r w:rsidRPr="00C61619">
        <w:rPr>
          <w:rFonts w:ascii="Georgia" w:hAnsi="Georgia" w:cs="Arial"/>
          <w:bCs/>
          <w:iCs/>
        </w:rPr>
        <w:t xml:space="preserve">the resident </w:t>
      </w:r>
      <w:r w:rsidRPr="00C61619">
        <w:rPr>
          <w:rFonts w:ascii="Georgia" w:hAnsi="Georgia" w:cs="Arial"/>
          <w:bCs/>
        </w:rPr>
        <w:t>representative written notice which specifies the duration of the bed-hold</w:t>
      </w:r>
    </w:p>
    <w:p w14:paraId="46667775" w14:textId="77777777" w:rsidR="00BA3B2B" w:rsidRDefault="00BA3B2B" w:rsidP="00BA3B2B">
      <w:pPr>
        <w:tabs>
          <w:tab w:val="left" w:pos="1841"/>
        </w:tabs>
        <w:spacing w:after="100" w:line="240" w:lineRule="auto"/>
        <w:contextualSpacing/>
        <w:rPr>
          <w:rFonts w:ascii="Arial" w:hAnsi="Arial" w:cs="Arial"/>
          <w:i/>
        </w:rPr>
      </w:pPr>
    </w:p>
    <w:p w14:paraId="64019480" w14:textId="77777777" w:rsidR="00D51DFA" w:rsidRPr="00BA3B2B" w:rsidRDefault="00397851" w:rsidP="00BA3B2B">
      <w:pPr>
        <w:tabs>
          <w:tab w:val="left" w:pos="1841"/>
        </w:tabs>
        <w:spacing w:after="0" w:line="240" w:lineRule="auto"/>
        <w:contextualSpacing/>
        <w:rPr>
          <w:rFonts w:ascii="Georgia" w:hAnsi="Georgia" w:cs="Arial"/>
          <w:u w:val="single"/>
        </w:rPr>
      </w:pPr>
      <w:r w:rsidRPr="00BA3B2B">
        <w:rPr>
          <w:rFonts w:ascii="Georgia" w:hAnsi="Georgia" w:cs="Arial"/>
          <w:u w:val="single"/>
        </w:rPr>
        <w:t>Discharges</w:t>
      </w:r>
      <w:r w:rsidR="00BF3C0C" w:rsidRPr="00BA3B2B">
        <w:rPr>
          <w:rFonts w:ascii="Georgia" w:hAnsi="Georgia" w:cs="Arial"/>
          <w:u w:val="single"/>
        </w:rPr>
        <w:t xml:space="preserve"> to Home</w:t>
      </w:r>
    </w:p>
    <w:p w14:paraId="2BAAD9E7" w14:textId="77777777" w:rsidR="00D51DFA" w:rsidRPr="00C61619" w:rsidRDefault="00397851" w:rsidP="00743644">
      <w:pPr>
        <w:pStyle w:val="ListParagraph"/>
        <w:numPr>
          <w:ilvl w:val="0"/>
          <w:numId w:val="30"/>
        </w:numPr>
        <w:tabs>
          <w:tab w:val="left" w:pos="1841"/>
        </w:tabs>
        <w:spacing w:after="100" w:line="240" w:lineRule="auto"/>
        <w:ind w:left="360"/>
        <w:rPr>
          <w:rFonts w:ascii="Georgia" w:hAnsi="Georgia" w:cs="Arial"/>
        </w:rPr>
      </w:pPr>
      <w:r w:rsidRPr="00C61619">
        <w:rPr>
          <w:rFonts w:ascii="Georgia" w:hAnsi="Georgia" w:cs="Arial"/>
        </w:rPr>
        <w:t>Explain discharge procedure to resident</w:t>
      </w:r>
    </w:p>
    <w:p w14:paraId="54763FDE" w14:textId="77777777" w:rsidR="00D51DFA" w:rsidRPr="00C61619" w:rsidRDefault="00397851" w:rsidP="00743644">
      <w:pPr>
        <w:pStyle w:val="ListParagraph"/>
        <w:numPr>
          <w:ilvl w:val="0"/>
          <w:numId w:val="30"/>
        </w:numPr>
        <w:tabs>
          <w:tab w:val="left" w:pos="1841"/>
        </w:tabs>
        <w:spacing w:after="100" w:line="240" w:lineRule="auto"/>
        <w:ind w:left="360"/>
        <w:rPr>
          <w:rFonts w:ascii="Georgia" w:hAnsi="Georgia" w:cs="Arial"/>
        </w:rPr>
      </w:pPr>
      <w:r w:rsidRPr="00C61619">
        <w:rPr>
          <w:rFonts w:ascii="Georgia" w:hAnsi="Georgia" w:cs="Arial"/>
        </w:rPr>
        <w:t>The attending physician is required to write a discharge order</w:t>
      </w:r>
    </w:p>
    <w:p w14:paraId="577D1664" w14:textId="77777777" w:rsidR="00D51DFA" w:rsidRPr="00C61619" w:rsidRDefault="00397851" w:rsidP="00743644">
      <w:pPr>
        <w:pStyle w:val="ListParagraph"/>
        <w:numPr>
          <w:ilvl w:val="0"/>
          <w:numId w:val="30"/>
        </w:numPr>
        <w:tabs>
          <w:tab w:val="left" w:pos="1841"/>
        </w:tabs>
        <w:spacing w:after="100" w:line="240" w:lineRule="auto"/>
        <w:ind w:left="360"/>
        <w:rPr>
          <w:rFonts w:ascii="Georgia" w:hAnsi="Georgia" w:cs="Arial"/>
        </w:rPr>
      </w:pPr>
      <w:r w:rsidRPr="00C61619">
        <w:rPr>
          <w:rFonts w:ascii="Georgia" w:hAnsi="Georgia" w:cs="Arial"/>
        </w:rPr>
        <w:t>When the resident wishes to go home or the resident's family wishes to take the resident home and the attending physician cannot be reached or refuses to discharge the resident, the "Discharge Against Medical Advice" form must be signed by the resident or the resident's representative</w:t>
      </w:r>
    </w:p>
    <w:p w14:paraId="74D0E5FF" w14:textId="77777777" w:rsidR="00D51DFA" w:rsidRPr="00C61619" w:rsidRDefault="00397851" w:rsidP="00743644">
      <w:pPr>
        <w:pStyle w:val="ListParagraph"/>
        <w:numPr>
          <w:ilvl w:val="0"/>
          <w:numId w:val="30"/>
        </w:numPr>
        <w:tabs>
          <w:tab w:val="left" w:pos="1841"/>
        </w:tabs>
        <w:spacing w:after="100" w:line="240" w:lineRule="auto"/>
        <w:ind w:left="360"/>
        <w:rPr>
          <w:rFonts w:ascii="Georgia" w:hAnsi="Georgia" w:cs="Arial"/>
        </w:rPr>
      </w:pPr>
      <w:r w:rsidRPr="00C61619">
        <w:rPr>
          <w:rFonts w:ascii="Georgia" w:hAnsi="Georgia" w:cs="Arial"/>
        </w:rPr>
        <w:t>When calling the attending physician for a discharge order, inquire whether or not the resident's medication is to be sent with the resident, including scheduled medications</w:t>
      </w:r>
    </w:p>
    <w:p w14:paraId="0D146884" w14:textId="77777777" w:rsidR="00D51DFA" w:rsidRPr="00C61619" w:rsidRDefault="00397851" w:rsidP="00743644">
      <w:pPr>
        <w:pStyle w:val="ListParagraph"/>
        <w:numPr>
          <w:ilvl w:val="0"/>
          <w:numId w:val="30"/>
        </w:numPr>
        <w:tabs>
          <w:tab w:val="left" w:pos="1841"/>
        </w:tabs>
        <w:spacing w:after="100" w:line="240" w:lineRule="auto"/>
        <w:ind w:left="360"/>
        <w:rPr>
          <w:rFonts w:ascii="Georgia" w:hAnsi="Georgia" w:cs="Arial"/>
        </w:rPr>
      </w:pPr>
      <w:r w:rsidRPr="00C61619">
        <w:rPr>
          <w:rFonts w:ascii="Georgia" w:hAnsi="Georgia" w:cs="Arial"/>
        </w:rPr>
        <w:t>If medications are to be included, write this in the order (Example: May be discharged to home with daughter, may take all medications)</w:t>
      </w:r>
    </w:p>
    <w:p w14:paraId="62FA539D" w14:textId="77777777" w:rsidR="008317BC" w:rsidRPr="00C61619" w:rsidRDefault="00397851" w:rsidP="00743644">
      <w:pPr>
        <w:pStyle w:val="ListParagraph"/>
        <w:numPr>
          <w:ilvl w:val="0"/>
          <w:numId w:val="30"/>
        </w:numPr>
        <w:tabs>
          <w:tab w:val="left" w:pos="1841"/>
        </w:tabs>
        <w:spacing w:after="100" w:line="240" w:lineRule="auto"/>
        <w:ind w:left="360"/>
        <w:rPr>
          <w:rFonts w:ascii="Georgia" w:hAnsi="Georgia" w:cs="Arial"/>
        </w:rPr>
      </w:pPr>
      <w:r w:rsidRPr="00C61619">
        <w:rPr>
          <w:rFonts w:ascii="Georgia" w:hAnsi="Georgia" w:cs="Arial"/>
        </w:rPr>
        <w:t>Complete a Discharge Summary and Instruction Observation</w:t>
      </w:r>
    </w:p>
    <w:p w14:paraId="386688B3" w14:textId="77777777" w:rsidR="008317BC" w:rsidRPr="00C61619" w:rsidRDefault="00397851" w:rsidP="00743644">
      <w:pPr>
        <w:pStyle w:val="ListParagraph"/>
        <w:numPr>
          <w:ilvl w:val="1"/>
          <w:numId w:val="30"/>
        </w:numPr>
        <w:spacing w:after="100" w:line="240" w:lineRule="auto"/>
        <w:ind w:left="1080"/>
        <w:rPr>
          <w:rFonts w:ascii="Georgia" w:hAnsi="Georgia" w:cs="Arial"/>
        </w:rPr>
      </w:pPr>
      <w:r w:rsidRPr="00C61619">
        <w:rPr>
          <w:rFonts w:ascii="Georgia" w:hAnsi="Georgia" w:cs="Arial"/>
        </w:rPr>
        <w:t>Run the medications report and attach to the printed Discharge Summary and Instructions</w:t>
      </w:r>
    </w:p>
    <w:p w14:paraId="50970CA0" w14:textId="77777777" w:rsidR="008317BC" w:rsidRPr="00C61619" w:rsidRDefault="00397851" w:rsidP="00743644">
      <w:pPr>
        <w:pStyle w:val="ListParagraph"/>
        <w:numPr>
          <w:ilvl w:val="1"/>
          <w:numId w:val="30"/>
        </w:numPr>
        <w:spacing w:after="100" w:line="240" w:lineRule="auto"/>
        <w:ind w:left="1080"/>
        <w:rPr>
          <w:rFonts w:ascii="Georgia" w:hAnsi="Georgia" w:cs="Arial"/>
        </w:rPr>
      </w:pPr>
      <w:r w:rsidRPr="00C61619">
        <w:rPr>
          <w:rFonts w:ascii="Georgia" w:hAnsi="Georgia" w:cs="Arial"/>
        </w:rPr>
        <w:t>Include instructions for post discharge care and explain to the resident and/or representative</w:t>
      </w:r>
    </w:p>
    <w:p w14:paraId="4DCC288C" w14:textId="77777777" w:rsidR="008317BC" w:rsidRPr="00C61619" w:rsidRDefault="00397851" w:rsidP="00743644">
      <w:pPr>
        <w:pStyle w:val="ListParagraph"/>
        <w:numPr>
          <w:ilvl w:val="1"/>
          <w:numId w:val="30"/>
        </w:numPr>
        <w:spacing w:after="0" w:line="240" w:lineRule="auto"/>
        <w:ind w:left="1080"/>
        <w:rPr>
          <w:rFonts w:ascii="Georgia" w:hAnsi="Georgia" w:cs="Arial"/>
        </w:rPr>
      </w:pPr>
      <w:r w:rsidRPr="00C61619">
        <w:rPr>
          <w:rFonts w:ascii="Georgia" w:hAnsi="Georgia" w:cs="Arial"/>
        </w:rPr>
        <w:t>Give copy of Discharge Summary and Instruction Form and medication orders report to the resident and/or representative or person(s) responsible for care</w:t>
      </w:r>
    </w:p>
    <w:p w14:paraId="2C3C5535" w14:textId="77777777" w:rsidR="00BA3B2B" w:rsidRDefault="00BA3B2B" w:rsidP="00BA3B2B">
      <w:pPr>
        <w:tabs>
          <w:tab w:val="left" w:pos="1841"/>
        </w:tabs>
        <w:spacing w:after="0" w:line="240" w:lineRule="auto"/>
        <w:rPr>
          <w:rFonts w:ascii="Arial" w:hAnsi="Arial" w:cs="Arial"/>
          <w:i/>
          <w:sz w:val="24"/>
          <w:szCs w:val="24"/>
        </w:rPr>
      </w:pPr>
    </w:p>
    <w:p w14:paraId="219D9DA2" w14:textId="77777777" w:rsidR="008317BC" w:rsidRPr="00BA3B2B" w:rsidRDefault="00397851" w:rsidP="00BA3B2B">
      <w:pPr>
        <w:tabs>
          <w:tab w:val="left" w:pos="1841"/>
        </w:tabs>
        <w:spacing w:after="0" w:line="240" w:lineRule="auto"/>
        <w:rPr>
          <w:rFonts w:ascii="Georgia" w:hAnsi="Georgia" w:cs="Arial"/>
          <w:u w:val="single"/>
        </w:rPr>
      </w:pPr>
      <w:r w:rsidRPr="00BA3B2B">
        <w:rPr>
          <w:rFonts w:ascii="Georgia" w:hAnsi="Georgia" w:cs="Arial"/>
          <w:u w:val="single"/>
        </w:rPr>
        <w:t>Transfer</w:t>
      </w:r>
      <w:r w:rsidR="008317BC" w:rsidRPr="00BA3B2B">
        <w:rPr>
          <w:rFonts w:ascii="Georgia" w:hAnsi="Georgia" w:cs="Arial"/>
          <w:u w:val="single"/>
        </w:rPr>
        <w:t>s</w:t>
      </w:r>
      <w:r w:rsidR="00BF3C0C" w:rsidRPr="00BA3B2B">
        <w:rPr>
          <w:rFonts w:ascii="Georgia" w:hAnsi="Georgia" w:cs="Arial"/>
          <w:u w:val="single"/>
        </w:rPr>
        <w:t xml:space="preserve"> to Another Provider</w:t>
      </w:r>
    </w:p>
    <w:p w14:paraId="36B51F5A" w14:textId="77777777" w:rsidR="008317BC" w:rsidRPr="00C61619" w:rsidRDefault="00397851" w:rsidP="00743644">
      <w:pPr>
        <w:pStyle w:val="ListParagraph"/>
        <w:numPr>
          <w:ilvl w:val="0"/>
          <w:numId w:val="35"/>
        </w:numPr>
        <w:tabs>
          <w:tab w:val="left" w:pos="1841"/>
        </w:tabs>
        <w:spacing w:after="100" w:line="240" w:lineRule="auto"/>
        <w:ind w:left="360"/>
        <w:rPr>
          <w:rFonts w:ascii="Georgia" w:hAnsi="Georgia" w:cs="Arial"/>
        </w:rPr>
      </w:pPr>
      <w:r w:rsidRPr="00C61619">
        <w:rPr>
          <w:rFonts w:ascii="Georgia" w:hAnsi="Georgia" w:cs="Arial"/>
        </w:rPr>
        <w:t>Obtain physician order for transfer</w:t>
      </w:r>
    </w:p>
    <w:p w14:paraId="5D808ED1" w14:textId="77777777" w:rsidR="008317BC" w:rsidRPr="00C61619" w:rsidRDefault="00BF3C0C" w:rsidP="00743644">
      <w:pPr>
        <w:pStyle w:val="ListParagraph"/>
        <w:numPr>
          <w:ilvl w:val="0"/>
          <w:numId w:val="35"/>
        </w:numPr>
        <w:tabs>
          <w:tab w:val="left" w:pos="1841"/>
        </w:tabs>
        <w:spacing w:after="100" w:line="240" w:lineRule="auto"/>
        <w:ind w:left="360"/>
        <w:rPr>
          <w:rFonts w:ascii="Georgia" w:hAnsi="Georgia" w:cs="Arial"/>
        </w:rPr>
      </w:pPr>
      <w:r w:rsidRPr="00C61619">
        <w:rPr>
          <w:rFonts w:ascii="Georgia" w:hAnsi="Georgia" w:cs="Arial"/>
        </w:rPr>
        <w:t>Arrange transportation</w:t>
      </w:r>
      <w:r w:rsidR="00397851" w:rsidRPr="00C61619">
        <w:rPr>
          <w:rFonts w:ascii="Georgia" w:hAnsi="Georgia" w:cs="Arial"/>
        </w:rPr>
        <w:t xml:space="preserve"> for transfer</w:t>
      </w:r>
    </w:p>
    <w:p w14:paraId="27F3E0F0" w14:textId="77777777" w:rsidR="008317BC" w:rsidRPr="00C61619" w:rsidRDefault="00397851" w:rsidP="00743644">
      <w:pPr>
        <w:pStyle w:val="ListParagraph"/>
        <w:numPr>
          <w:ilvl w:val="0"/>
          <w:numId w:val="35"/>
        </w:numPr>
        <w:tabs>
          <w:tab w:val="left" w:pos="1841"/>
        </w:tabs>
        <w:spacing w:after="100" w:line="240" w:lineRule="auto"/>
        <w:ind w:left="360"/>
        <w:rPr>
          <w:rFonts w:ascii="Georgia" w:hAnsi="Georgia" w:cs="Arial"/>
        </w:rPr>
      </w:pPr>
      <w:r w:rsidRPr="00C61619">
        <w:rPr>
          <w:rFonts w:ascii="Georgia" w:hAnsi="Georgia" w:cs="Arial"/>
        </w:rPr>
        <w:t xml:space="preserve">Explain transfer and reason to the resident and/or representative </w:t>
      </w:r>
    </w:p>
    <w:p w14:paraId="52091813" w14:textId="77777777" w:rsidR="008317BC" w:rsidRPr="00C61619" w:rsidRDefault="008E6ADE" w:rsidP="00743644">
      <w:pPr>
        <w:pStyle w:val="ListParagraph"/>
        <w:numPr>
          <w:ilvl w:val="0"/>
          <w:numId w:val="35"/>
        </w:numPr>
        <w:tabs>
          <w:tab w:val="left" w:pos="1841"/>
        </w:tabs>
        <w:spacing w:after="100" w:line="240" w:lineRule="auto"/>
        <w:ind w:left="360"/>
        <w:rPr>
          <w:rFonts w:ascii="Georgia" w:hAnsi="Georgia" w:cs="Arial"/>
        </w:rPr>
      </w:pPr>
      <w:r w:rsidRPr="00C61619">
        <w:rPr>
          <w:rFonts w:ascii="Georgia" w:hAnsi="Georgia" w:cs="Arial"/>
        </w:rPr>
        <w:t xml:space="preserve">Send the following documentation to the receiving </w:t>
      </w:r>
      <w:r w:rsidR="00AA04B1" w:rsidRPr="00C61619">
        <w:rPr>
          <w:rFonts w:ascii="Georgia" w:hAnsi="Georgia" w:cs="Arial"/>
        </w:rPr>
        <w:t>provider:</w:t>
      </w:r>
    </w:p>
    <w:p w14:paraId="41ED7648" w14:textId="77777777" w:rsidR="00321569" w:rsidRPr="00C61619" w:rsidRDefault="00AA04B1" w:rsidP="00743644">
      <w:pPr>
        <w:pStyle w:val="ListParagraph"/>
        <w:numPr>
          <w:ilvl w:val="1"/>
          <w:numId w:val="35"/>
        </w:numPr>
        <w:tabs>
          <w:tab w:val="left" w:pos="1841"/>
        </w:tabs>
        <w:spacing w:after="100" w:line="240" w:lineRule="auto"/>
        <w:ind w:left="1080"/>
        <w:rPr>
          <w:rFonts w:ascii="Georgia" w:hAnsi="Georgia" w:cs="Arial"/>
        </w:rPr>
      </w:pPr>
      <w:r w:rsidRPr="00C61619">
        <w:rPr>
          <w:rFonts w:ascii="Georgia" w:hAnsi="Georgia" w:cs="Arial"/>
        </w:rPr>
        <w:t>Continuity of Care Document (CCD)</w:t>
      </w:r>
    </w:p>
    <w:p w14:paraId="4DDF78C7" w14:textId="77777777" w:rsidR="00321569" w:rsidRPr="00C61619" w:rsidRDefault="00AA04B1" w:rsidP="00743644">
      <w:pPr>
        <w:pStyle w:val="ListParagraph"/>
        <w:numPr>
          <w:ilvl w:val="1"/>
          <w:numId w:val="35"/>
        </w:numPr>
        <w:tabs>
          <w:tab w:val="left" w:pos="1841"/>
        </w:tabs>
        <w:spacing w:after="100" w:line="240" w:lineRule="auto"/>
        <w:ind w:left="1080"/>
        <w:rPr>
          <w:rFonts w:ascii="Georgia" w:hAnsi="Georgia" w:cs="Arial"/>
        </w:rPr>
      </w:pPr>
      <w:r w:rsidRPr="00C61619">
        <w:rPr>
          <w:rFonts w:ascii="Georgia" w:hAnsi="Georgia" w:cs="Arial"/>
        </w:rPr>
        <w:t>Most recent MDS</w:t>
      </w:r>
    </w:p>
    <w:p w14:paraId="11295538" w14:textId="77777777" w:rsidR="00321569" w:rsidRPr="00C61619" w:rsidRDefault="00AA04B1" w:rsidP="00743644">
      <w:pPr>
        <w:pStyle w:val="ListParagraph"/>
        <w:numPr>
          <w:ilvl w:val="1"/>
          <w:numId w:val="35"/>
        </w:numPr>
        <w:tabs>
          <w:tab w:val="left" w:pos="1841"/>
        </w:tabs>
        <w:spacing w:after="100" w:line="240" w:lineRule="auto"/>
        <w:ind w:left="1080"/>
        <w:rPr>
          <w:rFonts w:ascii="Georgia" w:hAnsi="Georgia" w:cs="Arial"/>
        </w:rPr>
      </w:pPr>
      <w:r w:rsidRPr="00C61619">
        <w:rPr>
          <w:rFonts w:ascii="Georgia" w:hAnsi="Georgia" w:cs="Arial"/>
        </w:rPr>
        <w:t xml:space="preserve">Comprehensive care plan with </w:t>
      </w:r>
      <w:r w:rsidR="00BA3B2B" w:rsidRPr="00C61619">
        <w:rPr>
          <w:rFonts w:ascii="Georgia" w:hAnsi="Georgia" w:cs="Arial"/>
        </w:rPr>
        <w:t>short- and long-term</w:t>
      </w:r>
      <w:r w:rsidRPr="00C61619">
        <w:rPr>
          <w:rFonts w:ascii="Georgia" w:hAnsi="Georgia" w:cs="Arial"/>
        </w:rPr>
        <w:t xml:space="preserve"> goals </w:t>
      </w:r>
    </w:p>
    <w:p w14:paraId="79B70089" w14:textId="77777777" w:rsidR="00321569" w:rsidRPr="00C61619" w:rsidRDefault="00AA04B1" w:rsidP="00743644">
      <w:pPr>
        <w:pStyle w:val="ListParagraph"/>
        <w:numPr>
          <w:ilvl w:val="1"/>
          <w:numId w:val="35"/>
        </w:numPr>
        <w:tabs>
          <w:tab w:val="left" w:pos="1841"/>
        </w:tabs>
        <w:spacing w:after="100" w:line="240" w:lineRule="auto"/>
        <w:ind w:left="1080"/>
        <w:rPr>
          <w:rFonts w:ascii="Georgia" w:hAnsi="Georgia" w:cs="Arial"/>
        </w:rPr>
      </w:pPr>
      <w:r w:rsidRPr="00C61619">
        <w:rPr>
          <w:rFonts w:ascii="Georgia" w:hAnsi="Georgia" w:cs="Arial"/>
        </w:rPr>
        <w:t>Discharge summary</w:t>
      </w:r>
    </w:p>
    <w:p w14:paraId="7C9C74A3" w14:textId="77777777" w:rsidR="00321569" w:rsidRPr="00C61619" w:rsidRDefault="00AA04B1" w:rsidP="00743644">
      <w:pPr>
        <w:pStyle w:val="ListParagraph"/>
        <w:numPr>
          <w:ilvl w:val="1"/>
          <w:numId w:val="35"/>
        </w:numPr>
        <w:tabs>
          <w:tab w:val="left" w:pos="1841"/>
        </w:tabs>
        <w:spacing w:after="100" w:line="240" w:lineRule="auto"/>
        <w:ind w:left="1080"/>
        <w:rPr>
          <w:rFonts w:ascii="Georgia" w:hAnsi="Georgia" w:cs="Arial"/>
        </w:rPr>
      </w:pPr>
      <w:r w:rsidRPr="00C61619">
        <w:rPr>
          <w:rFonts w:ascii="Georgia" w:hAnsi="Georgia" w:cs="Arial"/>
        </w:rPr>
        <w:t>Copy of most recent lab results</w:t>
      </w:r>
    </w:p>
    <w:p w14:paraId="19338E93" w14:textId="77777777" w:rsidR="008317BC" w:rsidRPr="00C61619" w:rsidRDefault="00397851" w:rsidP="00743644">
      <w:pPr>
        <w:pStyle w:val="ListParagraph"/>
        <w:numPr>
          <w:ilvl w:val="0"/>
          <w:numId w:val="35"/>
        </w:numPr>
        <w:tabs>
          <w:tab w:val="left" w:pos="1841"/>
        </w:tabs>
        <w:spacing w:after="100" w:line="240" w:lineRule="auto"/>
        <w:ind w:left="360"/>
        <w:rPr>
          <w:rFonts w:ascii="Georgia" w:hAnsi="Georgia" w:cs="Arial"/>
        </w:rPr>
      </w:pPr>
      <w:r w:rsidRPr="00C61619">
        <w:rPr>
          <w:rFonts w:ascii="Georgia" w:hAnsi="Georgia" w:cs="Arial"/>
        </w:rPr>
        <w:t>Explain and give copy of Bed hold form to the resident and/or representative, Note: If emergency transfer, this may be completed later, but as soon as possible</w:t>
      </w:r>
    </w:p>
    <w:p w14:paraId="69F14C88" w14:textId="77777777" w:rsidR="008317BC" w:rsidRPr="00C61619" w:rsidRDefault="00397851" w:rsidP="00743644">
      <w:pPr>
        <w:pStyle w:val="ListParagraph"/>
        <w:numPr>
          <w:ilvl w:val="0"/>
          <w:numId w:val="35"/>
        </w:numPr>
        <w:tabs>
          <w:tab w:val="left" w:pos="1841"/>
        </w:tabs>
        <w:spacing w:after="100" w:line="240" w:lineRule="auto"/>
        <w:ind w:left="360"/>
        <w:rPr>
          <w:rFonts w:ascii="Georgia" w:hAnsi="Georgia" w:cs="Arial"/>
        </w:rPr>
      </w:pPr>
      <w:r w:rsidRPr="00C61619">
        <w:rPr>
          <w:rFonts w:ascii="Georgia" w:hAnsi="Georgia" w:cs="Arial"/>
        </w:rPr>
        <w:t>Send a copy of transfer Eve</w:t>
      </w:r>
      <w:r w:rsidR="00BF3C0C" w:rsidRPr="00C61619">
        <w:rPr>
          <w:rFonts w:ascii="Georgia" w:hAnsi="Georgia" w:cs="Arial"/>
        </w:rPr>
        <w:t>n</w:t>
      </w:r>
      <w:r w:rsidRPr="00C61619">
        <w:rPr>
          <w:rFonts w:ascii="Georgia" w:hAnsi="Georgia" w:cs="Arial"/>
        </w:rPr>
        <w:t>t and any other portions of medical record that was copied with the resident</w:t>
      </w:r>
    </w:p>
    <w:p w14:paraId="6911E0E9" w14:textId="77777777" w:rsidR="008317BC" w:rsidRPr="00C61619" w:rsidRDefault="00397851" w:rsidP="00743644">
      <w:pPr>
        <w:pStyle w:val="ListParagraph"/>
        <w:numPr>
          <w:ilvl w:val="0"/>
          <w:numId w:val="35"/>
        </w:numPr>
        <w:tabs>
          <w:tab w:val="left" w:pos="1841"/>
        </w:tabs>
        <w:spacing w:after="100" w:line="240" w:lineRule="auto"/>
        <w:ind w:left="360"/>
        <w:rPr>
          <w:rFonts w:ascii="Georgia" w:hAnsi="Georgia" w:cs="Arial"/>
        </w:rPr>
      </w:pPr>
      <w:r w:rsidRPr="00C61619">
        <w:rPr>
          <w:rFonts w:ascii="Georgia" w:hAnsi="Georgia" w:cs="Arial"/>
        </w:rPr>
        <w:t>Notify all appropriate departments of discharge</w:t>
      </w:r>
    </w:p>
    <w:p w14:paraId="6DEE2CDF" w14:textId="77777777" w:rsidR="00397851" w:rsidRPr="00C61619" w:rsidRDefault="00397851" w:rsidP="00743644">
      <w:pPr>
        <w:pStyle w:val="ListParagraph"/>
        <w:numPr>
          <w:ilvl w:val="0"/>
          <w:numId w:val="35"/>
        </w:numPr>
        <w:tabs>
          <w:tab w:val="left" w:pos="1841"/>
        </w:tabs>
        <w:spacing w:after="100" w:line="240" w:lineRule="auto"/>
        <w:ind w:left="360"/>
        <w:rPr>
          <w:rFonts w:ascii="Georgia" w:hAnsi="Georgia" w:cs="Arial"/>
        </w:rPr>
      </w:pPr>
      <w:r w:rsidRPr="00C61619">
        <w:rPr>
          <w:rFonts w:ascii="Georgia" w:hAnsi="Georgia" w:cs="Arial"/>
        </w:rPr>
        <w:t>Document the reason for the transfer in the patient’s progress notes</w:t>
      </w:r>
    </w:p>
    <w:sectPr w:rsidR="00397851" w:rsidRPr="00C61619" w:rsidSect="00BA3B2B">
      <w:headerReference w:type="default" r:id="rId15"/>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BDA79" w14:textId="77777777" w:rsidR="004201B2" w:rsidRDefault="004201B2" w:rsidP="00004886">
      <w:pPr>
        <w:spacing w:after="0" w:line="240" w:lineRule="auto"/>
      </w:pPr>
      <w:r>
        <w:separator/>
      </w:r>
    </w:p>
  </w:endnote>
  <w:endnote w:type="continuationSeparator" w:id="0">
    <w:p w14:paraId="323012B6" w14:textId="77777777" w:rsidR="004201B2" w:rsidRDefault="004201B2"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w:hAnsi="Avenir"/>
      </w:rPr>
      <w:id w:val="-2061780391"/>
      <w:docPartObj>
        <w:docPartGallery w:val="Page Numbers (Top of Page)"/>
        <w:docPartUnique/>
      </w:docPartObj>
    </w:sdtPr>
    <w:sdtEndPr/>
    <w:sdtContent>
      <w:p w14:paraId="3A39949C" w14:textId="77777777" w:rsidR="00BA3B2B" w:rsidRDefault="00BA3B2B" w:rsidP="00BA3B2B">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4</w:t>
        </w:r>
        <w:r w:rsidRPr="0091763A">
          <w:rPr>
            <w:rFonts w:ascii="Avenir" w:hAnsi="Avenir"/>
            <w:b/>
            <w:sz w:val="24"/>
            <w:szCs w:val="24"/>
          </w:rPr>
          <w:fldChar w:fldCharType="end"/>
        </w:r>
      </w:p>
    </w:sdtContent>
  </w:sdt>
  <w:p w14:paraId="4E06ED47" w14:textId="77777777" w:rsidR="00BA3B2B" w:rsidRDefault="00BA3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w:hAnsi="Avenir"/>
      </w:rPr>
      <w:id w:val="1175612287"/>
      <w:docPartObj>
        <w:docPartGallery w:val="Page Numbers (Bottom of Page)"/>
        <w:docPartUnique/>
      </w:docPartObj>
    </w:sdtPr>
    <w:sdtEndPr/>
    <w:sdtContent>
      <w:sdt>
        <w:sdtPr>
          <w:rPr>
            <w:rFonts w:ascii="Avenir" w:hAnsi="Avenir"/>
          </w:rPr>
          <w:id w:val="885058679"/>
          <w:docPartObj>
            <w:docPartGallery w:val="Page Numbers (Top of Page)"/>
            <w:docPartUnique/>
          </w:docPartObj>
        </w:sdtPr>
        <w:sdtEndPr/>
        <w:sdtContent>
          <w:p w14:paraId="22B2F5E1" w14:textId="77777777" w:rsidR="005608B5" w:rsidRPr="0091763A" w:rsidRDefault="005608B5" w:rsidP="003A605C">
            <w:pPr>
              <w:pStyle w:val="Footer"/>
              <w:jc w:val="right"/>
              <w:rPr>
                <w:rFonts w:ascii="Avenir" w:hAnsi="Avenir"/>
              </w:rPr>
            </w:pPr>
            <w:r w:rsidRPr="0091763A">
              <w:rPr>
                <w:rFonts w:ascii="Avenir" w:hAnsi="Avenir"/>
              </w:rPr>
              <w:t xml:space="preserve">Page </w:t>
            </w:r>
            <w:r w:rsidR="002C3AAE" w:rsidRPr="0091763A">
              <w:rPr>
                <w:rFonts w:ascii="Avenir" w:hAnsi="Avenir"/>
                <w:b/>
                <w:sz w:val="24"/>
                <w:szCs w:val="24"/>
              </w:rPr>
              <w:fldChar w:fldCharType="begin"/>
            </w:r>
            <w:r w:rsidRPr="0091763A">
              <w:rPr>
                <w:rFonts w:ascii="Avenir" w:hAnsi="Avenir"/>
                <w:b/>
              </w:rPr>
              <w:instrText xml:space="preserve"> PAGE </w:instrText>
            </w:r>
            <w:r w:rsidR="002C3AAE" w:rsidRPr="0091763A">
              <w:rPr>
                <w:rFonts w:ascii="Avenir" w:hAnsi="Avenir"/>
                <w:b/>
                <w:sz w:val="24"/>
                <w:szCs w:val="24"/>
              </w:rPr>
              <w:fldChar w:fldCharType="separate"/>
            </w:r>
            <w:r w:rsidR="00527521">
              <w:rPr>
                <w:rFonts w:ascii="Avenir" w:hAnsi="Avenir"/>
                <w:b/>
                <w:noProof/>
              </w:rPr>
              <w:t>4</w:t>
            </w:r>
            <w:r w:rsidR="002C3AAE" w:rsidRPr="0091763A">
              <w:rPr>
                <w:rFonts w:ascii="Avenir" w:hAnsi="Avenir"/>
                <w:b/>
                <w:sz w:val="24"/>
                <w:szCs w:val="24"/>
              </w:rPr>
              <w:fldChar w:fldCharType="end"/>
            </w:r>
            <w:r w:rsidRPr="0091763A">
              <w:rPr>
                <w:rFonts w:ascii="Avenir" w:hAnsi="Avenir"/>
              </w:rPr>
              <w:t xml:space="preserve"> of </w:t>
            </w:r>
            <w:r w:rsidR="002C3AAE" w:rsidRPr="0091763A">
              <w:rPr>
                <w:rFonts w:ascii="Avenir" w:hAnsi="Avenir"/>
                <w:b/>
                <w:sz w:val="24"/>
                <w:szCs w:val="24"/>
              </w:rPr>
              <w:fldChar w:fldCharType="begin"/>
            </w:r>
            <w:r w:rsidRPr="0091763A">
              <w:rPr>
                <w:rFonts w:ascii="Avenir" w:hAnsi="Avenir"/>
                <w:b/>
              </w:rPr>
              <w:instrText xml:space="preserve"> NUMPAGES  </w:instrText>
            </w:r>
            <w:r w:rsidR="002C3AAE" w:rsidRPr="0091763A">
              <w:rPr>
                <w:rFonts w:ascii="Avenir" w:hAnsi="Avenir"/>
                <w:b/>
                <w:sz w:val="24"/>
                <w:szCs w:val="24"/>
              </w:rPr>
              <w:fldChar w:fldCharType="separate"/>
            </w:r>
            <w:r w:rsidR="00527521">
              <w:rPr>
                <w:rFonts w:ascii="Avenir" w:hAnsi="Avenir"/>
                <w:b/>
                <w:noProof/>
              </w:rPr>
              <w:t>6</w:t>
            </w:r>
            <w:r w:rsidR="002C3AAE" w:rsidRPr="0091763A">
              <w:rPr>
                <w:rFonts w:ascii="Avenir" w:hAnsi="Avenir"/>
                <w:b/>
                <w:sz w:val="24"/>
                <w:szCs w:val="24"/>
              </w:rPr>
              <w:fldChar w:fldCharType="end"/>
            </w:r>
          </w:p>
        </w:sdtContent>
      </w:sdt>
    </w:sdtContent>
  </w:sdt>
  <w:p w14:paraId="468F7D99" w14:textId="77777777" w:rsidR="005608B5" w:rsidRDefault="00560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DC63" w14:textId="77777777" w:rsidR="006E409F" w:rsidRDefault="006E4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D6A3" w14:textId="77777777" w:rsidR="004201B2" w:rsidRDefault="004201B2" w:rsidP="00004886">
      <w:pPr>
        <w:spacing w:after="0" w:line="240" w:lineRule="auto"/>
      </w:pPr>
      <w:r>
        <w:separator/>
      </w:r>
    </w:p>
  </w:footnote>
  <w:footnote w:type="continuationSeparator" w:id="0">
    <w:p w14:paraId="7D1A015F" w14:textId="77777777" w:rsidR="004201B2" w:rsidRDefault="004201B2"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3A49" w14:textId="77777777" w:rsidR="006E409F" w:rsidRDefault="006E4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D081" w14:textId="77777777" w:rsidR="005608B5" w:rsidRDefault="00187FBC" w:rsidP="00004886">
    <w:pPr>
      <w:pStyle w:val="Header"/>
      <w:ind w:left="-720"/>
    </w:pPr>
    <w:r>
      <w:rPr>
        <w:noProof/>
      </w:rPr>
      <mc:AlternateContent>
        <mc:Choice Requires="wps">
          <w:drawing>
            <wp:anchor distT="0" distB="0" distL="114300" distR="114300" simplePos="0" relativeHeight="251660288" behindDoc="0" locked="0" layoutInCell="1" allowOverlap="1" wp14:anchorId="24AA2A38" wp14:editId="2F226D74">
              <wp:simplePos x="0" y="0"/>
              <wp:positionH relativeFrom="column">
                <wp:posOffset>3409950</wp:posOffset>
              </wp:positionH>
              <wp:positionV relativeFrom="paragraph">
                <wp:posOffset>87630</wp:posOffset>
              </wp:positionV>
              <wp:extent cx="2879090" cy="5035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521D3" w14:textId="77777777" w:rsidR="005608B5" w:rsidRPr="0091763A" w:rsidRDefault="005608B5" w:rsidP="00004886">
                          <w:pPr>
                            <w:jc w:val="right"/>
                            <w:rPr>
                              <w:rFonts w:ascii="Avenir" w:hAnsi="Avenir"/>
                              <w:sz w:val="32"/>
                              <w:szCs w:val="32"/>
                            </w:rPr>
                          </w:pPr>
                          <w:r>
                            <w:rPr>
                              <w:rFonts w:ascii="Avenir" w:hAnsi="Avenir"/>
                              <w:sz w:val="32"/>
                              <w:szCs w:val="32"/>
                            </w:rPr>
                            <w:t>SNF</w:t>
                          </w:r>
                          <w:r w:rsidR="00EF7516">
                            <w:rPr>
                              <w:rFonts w:ascii="Avenir" w:hAnsi="Avenir"/>
                              <w:sz w:val="32"/>
                              <w:szCs w:val="32"/>
                            </w:rPr>
                            <w:t>/AL</w:t>
                          </w:r>
                          <w:r>
                            <w:rPr>
                              <w:rFonts w:ascii="Avenir" w:hAnsi="Avenir"/>
                              <w:sz w:val="32"/>
                              <w:szCs w:val="32"/>
                            </w:rPr>
                            <w:t xml:space="preserve"> Nursing</w:t>
                          </w:r>
                          <w:r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4AA2A38"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" stroked="f">
              <v:textbox style="mso-fit-shape-to-text:t">
                <w:txbxContent>
                  <w:p w14:paraId="583521D3" w14:textId="77777777" w:rsidR="005608B5" w:rsidRPr="0091763A" w:rsidRDefault="005608B5" w:rsidP="00004886">
                    <w:pPr>
                      <w:jc w:val="right"/>
                      <w:rPr>
                        <w:rFonts w:ascii="Avenir" w:hAnsi="Avenir"/>
                        <w:sz w:val="32"/>
                        <w:szCs w:val="32"/>
                      </w:rPr>
                    </w:pPr>
                    <w:r>
                      <w:rPr>
                        <w:rFonts w:ascii="Avenir" w:hAnsi="Avenir"/>
                        <w:sz w:val="32"/>
                        <w:szCs w:val="32"/>
                      </w:rPr>
                      <w:t>SNF</w:t>
                    </w:r>
                    <w:r w:rsidR="00EF7516">
                      <w:rPr>
                        <w:rFonts w:ascii="Avenir" w:hAnsi="Avenir"/>
                        <w:sz w:val="32"/>
                        <w:szCs w:val="32"/>
                      </w:rPr>
                      <w:t>/AL</w:t>
                    </w:r>
                    <w:r>
                      <w:rPr>
                        <w:rFonts w:ascii="Avenir" w:hAnsi="Avenir"/>
                        <w:sz w:val="32"/>
                        <w:szCs w:val="32"/>
                      </w:rPr>
                      <w:t xml:space="preserve"> Nursing</w:t>
                    </w:r>
                    <w:r w:rsidRPr="0091763A">
                      <w:rPr>
                        <w:rFonts w:ascii="Avenir" w:hAnsi="Avenir"/>
                        <w:sz w:val="32"/>
                        <w:szCs w:val="32"/>
                      </w:rPr>
                      <w:t xml:space="preserve"> Policy</w:t>
                    </w:r>
                  </w:p>
                </w:txbxContent>
              </v:textbox>
            </v:shape>
          </w:pict>
        </mc:Fallback>
      </mc:AlternateContent>
    </w:r>
    <w:r w:rsidR="005608B5">
      <w:t xml:space="preserve"> </w:t>
    </w:r>
    <w:r w:rsidR="005608B5">
      <w:rPr>
        <w:noProof/>
      </w:rPr>
      <w:drawing>
        <wp:inline distT="0" distB="0" distL="0" distR="0" wp14:anchorId="56CDBD14" wp14:editId="2DDB7C1D">
          <wp:extent cx="2125229" cy="548640"/>
          <wp:effectExtent l="19050" t="0" r="8371" b="0"/>
          <wp:docPr id="6"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8"/>
      <w:gridCol w:w="3117"/>
    </w:tblGrid>
    <w:tr w:rsidR="00BA3B2B" w:rsidRPr="00004886" w14:paraId="4D9805D4" w14:textId="77777777" w:rsidTr="00BA3B2B">
      <w:trPr>
        <w:trHeight w:val="432"/>
      </w:trPr>
      <w:tc>
        <w:tcPr>
          <w:tcW w:w="9350" w:type="dxa"/>
          <w:gridSpan w:val="3"/>
          <w:shd w:val="clear" w:color="auto" w:fill="D9D9D9" w:themeFill="background1" w:themeFillShade="D9"/>
          <w:vAlign w:val="center"/>
        </w:tcPr>
        <w:p w14:paraId="43FCA022" w14:textId="77777777" w:rsidR="00BA3B2B" w:rsidRPr="0091763A" w:rsidRDefault="00BA3B2B" w:rsidP="00BA3B2B">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BA3B2B" w:rsidRPr="00004886" w14:paraId="7BD5C262" w14:textId="77777777" w:rsidTr="00BA3B2B">
      <w:trPr>
        <w:trHeight w:val="432"/>
      </w:trPr>
      <w:tc>
        <w:tcPr>
          <w:tcW w:w="9350" w:type="dxa"/>
          <w:gridSpan w:val="3"/>
          <w:vAlign w:val="center"/>
        </w:tcPr>
        <w:p w14:paraId="5C2468CF" w14:textId="77777777" w:rsidR="00BA3B2B" w:rsidRPr="00383057" w:rsidRDefault="00BA3B2B" w:rsidP="00BA3B2B">
          <w:pPr>
            <w:pStyle w:val="Heading1"/>
            <w:rPr>
              <w:rFonts w:ascii="Georgia" w:eastAsiaTheme="minorHAnsi" w:hAnsi="Georgia" w:cstheme="minorBidi"/>
            </w:rPr>
          </w:pPr>
          <w:r>
            <w:rPr>
              <w:rFonts w:ascii="Georgia" w:eastAsiaTheme="minorHAnsi" w:hAnsi="Georgia" w:cstheme="minorBidi"/>
            </w:rPr>
            <w:t>Discharge/Transfer of the Resident</w:t>
          </w:r>
        </w:p>
      </w:tc>
    </w:tr>
    <w:tr w:rsidR="005608B5" w:rsidRPr="00004886" w14:paraId="67D02F6F" w14:textId="77777777" w:rsidTr="00BA3B2B">
      <w:tc>
        <w:tcPr>
          <w:tcW w:w="3115" w:type="dxa"/>
          <w:shd w:val="clear" w:color="auto" w:fill="D9D9D9" w:themeFill="background1" w:themeFillShade="D9"/>
        </w:tcPr>
        <w:p w14:paraId="528F2D1A" w14:textId="77777777" w:rsidR="005608B5" w:rsidRPr="0091763A" w:rsidRDefault="005608B5" w:rsidP="00FE6AC7">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8" w:type="dxa"/>
          <w:shd w:val="clear" w:color="auto" w:fill="D9D9D9" w:themeFill="background1" w:themeFillShade="D9"/>
          <w:tcMar>
            <w:top w:w="115" w:type="dxa"/>
            <w:left w:w="115" w:type="dxa"/>
            <w:bottom w:w="115" w:type="dxa"/>
            <w:right w:w="115" w:type="dxa"/>
          </w:tcMar>
        </w:tcPr>
        <w:p w14:paraId="59C20FE4" w14:textId="77777777" w:rsidR="005608B5" w:rsidRPr="0091763A" w:rsidRDefault="005608B5" w:rsidP="00FE6AC7">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7" w:type="dxa"/>
          <w:shd w:val="clear" w:color="auto" w:fill="D9D9D9" w:themeFill="background1" w:themeFillShade="D9"/>
        </w:tcPr>
        <w:p w14:paraId="04E888AE" w14:textId="77777777" w:rsidR="005608B5" w:rsidRPr="0091763A" w:rsidRDefault="005608B5" w:rsidP="00FE6AC7">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5608B5" w:rsidRPr="00004886" w14:paraId="145BA614" w14:textId="77777777" w:rsidTr="00BA3B2B">
      <w:tc>
        <w:tcPr>
          <w:tcW w:w="3115" w:type="dxa"/>
        </w:tcPr>
        <w:p w14:paraId="38B8A651" w14:textId="36AF6D0F" w:rsidR="005608B5" w:rsidRPr="00383057" w:rsidRDefault="00021B74" w:rsidP="00397851">
          <w:pPr>
            <w:spacing w:after="0" w:line="240" w:lineRule="auto"/>
            <w:rPr>
              <w:rFonts w:ascii="Georgia" w:eastAsiaTheme="minorHAnsi" w:hAnsi="Georgia" w:cstheme="minorBidi"/>
            </w:rPr>
          </w:pPr>
          <w:r>
            <w:rPr>
              <w:rFonts w:ascii="Georgia" w:eastAsiaTheme="minorHAnsi" w:hAnsi="Georgia" w:cstheme="minorBidi"/>
            </w:rPr>
            <w:t>0</w:t>
          </w:r>
          <w:r w:rsidR="005608B5">
            <w:rPr>
              <w:rFonts w:ascii="Georgia" w:eastAsiaTheme="minorHAnsi" w:hAnsi="Georgia" w:cstheme="minorBidi"/>
            </w:rPr>
            <w:t>5/</w:t>
          </w:r>
          <w:r w:rsidR="00743644">
            <w:rPr>
              <w:rFonts w:ascii="Georgia" w:eastAsiaTheme="minorHAnsi" w:hAnsi="Georgia" w:cstheme="minorBidi"/>
            </w:rPr>
            <w:t>01/</w:t>
          </w:r>
          <w:r w:rsidR="00BA3B2B">
            <w:rPr>
              <w:rFonts w:ascii="Georgia" w:eastAsiaTheme="minorHAnsi" w:hAnsi="Georgia" w:cstheme="minorBidi"/>
            </w:rPr>
            <w:t>20</w:t>
          </w:r>
          <w:r w:rsidR="005608B5">
            <w:rPr>
              <w:rFonts w:ascii="Georgia" w:eastAsiaTheme="minorHAnsi" w:hAnsi="Georgia" w:cstheme="minorBidi"/>
            </w:rPr>
            <w:t>03</w:t>
          </w:r>
        </w:p>
      </w:tc>
      <w:tc>
        <w:tcPr>
          <w:tcW w:w="3118" w:type="dxa"/>
          <w:tcMar>
            <w:top w:w="115" w:type="dxa"/>
            <w:left w:w="115" w:type="dxa"/>
            <w:bottom w:w="115" w:type="dxa"/>
            <w:right w:w="115" w:type="dxa"/>
          </w:tcMar>
        </w:tcPr>
        <w:p w14:paraId="1ED147F8" w14:textId="7BD3C7F7" w:rsidR="005608B5" w:rsidRPr="00383057" w:rsidRDefault="00021B74" w:rsidP="004C4532">
          <w:pPr>
            <w:pStyle w:val="Header"/>
            <w:spacing w:after="0"/>
            <w:rPr>
              <w:rFonts w:ascii="Georgia" w:eastAsiaTheme="minorHAnsi" w:hAnsi="Georgia" w:cstheme="minorBidi"/>
            </w:rPr>
          </w:pPr>
          <w:r>
            <w:rPr>
              <w:rFonts w:ascii="Georgia" w:eastAsiaTheme="minorHAnsi" w:hAnsi="Georgia" w:cstheme="minorBidi"/>
            </w:rPr>
            <w:t>06/2</w:t>
          </w:r>
          <w:r w:rsidR="00D21409">
            <w:rPr>
              <w:rFonts w:ascii="Georgia" w:eastAsiaTheme="minorHAnsi" w:hAnsi="Georgia" w:cstheme="minorBidi"/>
            </w:rPr>
            <w:t>6</w:t>
          </w:r>
          <w:r>
            <w:rPr>
              <w:rFonts w:ascii="Georgia" w:eastAsiaTheme="minorHAnsi" w:hAnsi="Georgia" w:cstheme="minorBidi"/>
            </w:rPr>
            <w:t>/2024</w:t>
          </w:r>
        </w:p>
      </w:tc>
      <w:tc>
        <w:tcPr>
          <w:tcW w:w="3117" w:type="dxa"/>
        </w:tcPr>
        <w:p w14:paraId="5DC2C710" w14:textId="67BBC189" w:rsidR="005608B5" w:rsidRPr="00383057" w:rsidRDefault="00743644" w:rsidP="00FE6AC7">
          <w:pPr>
            <w:spacing w:after="0" w:line="240" w:lineRule="auto"/>
            <w:rPr>
              <w:rFonts w:ascii="Georgia" w:eastAsiaTheme="minorHAnsi" w:hAnsi="Georgia" w:cstheme="minorBidi"/>
            </w:rPr>
          </w:pPr>
          <w:r>
            <w:rPr>
              <w:rFonts w:ascii="Georgia" w:eastAsiaTheme="minorHAnsi" w:hAnsi="Georgia" w:cstheme="minorBidi"/>
            </w:rPr>
            <w:t>0</w:t>
          </w:r>
          <w:r w:rsidR="00B50A61">
            <w:rPr>
              <w:rFonts w:ascii="Georgia" w:eastAsiaTheme="minorHAnsi" w:hAnsi="Georgia" w:cstheme="minorBidi"/>
            </w:rPr>
            <w:t>6/</w:t>
          </w:r>
          <w:r w:rsidR="00BA3B2B">
            <w:rPr>
              <w:rFonts w:ascii="Georgia" w:eastAsiaTheme="minorHAnsi" w:hAnsi="Georgia" w:cstheme="minorBidi"/>
            </w:rPr>
            <w:t>0</w:t>
          </w:r>
          <w:r w:rsidR="00B50A61">
            <w:rPr>
              <w:rFonts w:ascii="Georgia" w:eastAsiaTheme="minorHAnsi" w:hAnsi="Georgia" w:cstheme="minorBidi"/>
            </w:rPr>
            <w:t>1/202</w:t>
          </w:r>
          <w:r w:rsidR="006E409F">
            <w:rPr>
              <w:rFonts w:ascii="Georgia" w:eastAsiaTheme="minorHAnsi" w:hAnsi="Georgia" w:cstheme="minorBidi"/>
            </w:rPr>
            <w:t>6</w:t>
          </w:r>
        </w:p>
      </w:tc>
    </w:tr>
    <w:tr w:rsidR="00BA3B2B" w:rsidRPr="00004886" w14:paraId="455618FA" w14:textId="77777777" w:rsidTr="00BA3B2B">
      <w:trPr>
        <w:trHeight w:val="432"/>
      </w:trPr>
      <w:tc>
        <w:tcPr>
          <w:tcW w:w="9350" w:type="dxa"/>
          <w:gridSpan w:val="3"/>
          <w:shd w:val="clear" w:color="auto" w:fill="D9D9D9" w:themeFill="background1" w:themeFillShade="D9"/>
          <w:vAlign w:val="center"/>
        </w:tcPr>
        <w:p w14:paraId="1AFF0B02" w14:textId="77777777" w:rsidR="00BA3B2B" w:rsidRPr="0091763A" w:rsidRDefault="00BA3B2B" w:rsidP="00BA3B2B">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BA3B2B" w:rsidRPr="00004886" w14:paraId="5E2D9B17" w14:textId="77777777" w:rsidTr="00BA3B2B">
      <w:trPr>
        <w:trHeight w:val="432"/>
      </w:trPr>
      <w:tc>
        <w:tcPr>
          <w:tcW w:w="9350" w:type="dxa"/>
          <w:gridSpan w:val="3"/>
          <w:vAlign w:val="center"/>
        </w:tcPr>
        <w:p w14:paraId="13091314" w14:textId="77777777" w:rsidR="00BA3B2B" w:rsidRPr="00383057" w:rsidRDefault="00BA3B2B" w:rsidP="00BA3B2B">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5608B5" w:rsidRPr="00004886" w14:paraId="1DD8FB16" w14:textId="77777777" w:rsidTr="00BA3B2B">
      <w:tc>
        <w:tcPr>
          <w:tcW w:w="9350" w:type="dxa"/>
          <w:gridSpan w:val="3"/>
          <w:shd w:val="clear" w:color="auto" w:fill="D9D9D9" w:themeFill="background1" w:themeFillShade="D9"/>
          <w:tcMar>
            <w:top w:w="115" w:type="dxa"/>
            <w:left w:w="115" w:type="dxa"/>
            <w:bottom w:w="115" w:type="dxa"/>
            <w:right w:w="115" w:type="dxa"/>
          </w:tcMar>
        </w:tcPr>
        <w:p w14:paraId="16A39D5F" w14:textId="77777777" w:rsidR="005608B5" w:rsidRPr="0091763A" w:rsidRDefault="005608B5" w:rsidP="00FE6AC7">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5608B5" w:rsidRPr="00004886" w14:paraId="3A796975" w14:textId="77777777" w:rsidTr="00BA3B2B">
      <w:tc>
        <w:tcPr>
          <w:tcW w:w="9350" w:type="dxa"/>
          <w:gridSpan w:val="3"/>
          <w:shd w:val="clear" w:color="auto" w:fill="auto"/>
          <w:tcMar>
            <w:top w:w="115" w:type="dxa"/>
            <w:left w:w="115" w:type="dxa"/>
            <w:bottom w:w="115" w:type="dxa"/>
            <w:right w:w="115" w:type="dxa"/>
          </w:tcMar>
        </w:tcPr>
        <w:p w14:paraId="28254FF6" w14:textId="77777777" w:rsidR="005608B5" w:rsidRPr="00383057" w:rsidRDefault="005608B5" w:rsidP="00FE6AC7">
          <w:pPr>
            <w:spacing w:after="0" w:line="240" w:lineRule="auto"/>
            <w:rPr>
              <w:rFonts w:ascii="Georgia" w:eastAsiaTheme="minorHAnsi" w:hAnsi="Georgia" w:cstheme="minorBidi"/>
            </w:rPr>
          </w:pPr>
        </w:p>
      </w:tc>
    </w:tr>
  </w:tbl>
  <w:p w14:paraId="5ECF8638" w14:textId="77777777" w:rsidR="005608B5" w:rsidRDefault="005608B5" w:rsidP="00004886">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63CE" w14:textId="77777777" w:rsidR="006E409F" w:rsidRDefault="006E40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15B1" w14:textId="77777777" w:rsidR="00BA3B2B" w:rsidRDefault="00BA3B2B"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5pt;height:12.75pt" o:bullet="t">
        <v:imagedata r:id="rId1" o:title="BD21306_"/>
      </v:shape>
    </w:pict>
  </w:numPicBullet>
  <w:abstractNum w:abstractNumId="0" w15:restartNumberingAfterBreak="0">
    <w:nsid w:val="00EC1CB0"/>
    <w:multiLevelType w:val="hybridMultilevel"/>
    <w:tmpl w:val="9FF4F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D66750"/>
    <w:multiLevelType w:val="hybridMultilevel"/>
    <w:tmpl w:val="51CED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D6DC7"/>
    <w:multiLevelType w:val="hybridMultilevel"/>
    <w:tmpl w:val="1A1CE8E0"/>
    <w:lvl w:ilvl="0" w:tplc="008AE70A">
      <w:start w:val="1"/>
      <w:numFmt w:val="decimal"/>
      <w:lvlText w:val="%1."/>
      <w:lvlJc w:val="left"/>
      <w:pPr>
        <w:tabs>
          <w:tab w:val="num" w:pos="993"/>
        </w:tabs>
        <w:ind w:left="993" w:hanging="360"/>
      </w:pPr>
      <w:rPr>
        <w:rFonts w:hint="default"/>
      </w:rPr>
    </w:lvl>
    <w:lvl w:ilvl="1" w:tplc="412E0AE4">
      <w:start w:val="1"/>
      <w:numFmt w:val="decimal"/>
      <w:lvlText w:val="%2."/>
      <w:lvlJc w:val="left"/>
      <w:pPr>
        <w:tabs>
          <w:tab w:val="num" w:pos="1713"/>
        </w:tabs>
        <w:ind w:left="1713" w:hanging="360"/>
      </w:pPr>
      <w:rPr>
        <w:rFonts w:hint="default"/>
      </w:rPr>
    </w:lvl>
    <w:lvl w:ilvl="2" w:tplc="0409001B" w:tentative="1">
      <w:start w:val="1"/>
      <w:numFmt w:val="lowerRoman"/>
      <w:lvlText w:val="%3."/>
      <w:lvlJc w:val="right"/>
      <w:pPr>
        <w:tabs>
          <w:tab w:val="num" w:pos="2433"/>
        </w:tabs>
        <w:ind w:left="2433" w:hanging="180"/>
      </w:pPr>
    </w:lvl>
    <w:lvl w:ilvl="3" w:tplc="0409000F" w:tentative="1">
      <w:start w:val="1"/>
      <w:numFmt w:val="decimal"/>
      <w:lvlText w:val="%4."/>
      <w:lvlJc w:val="left"/>
      <w:pPr>
        <w:tabs>
          <w:tab w:val="num" w:pos="3153"/>
        </w:tabs>
        <w:ind w:left="3153" w:hanging="360"/>
      </w:pPr>
    </w:lvl>
    <w:lvl w:ilvl="4" w:tplc="04090019" w:tentative="1">
      <w:start w:val="1"/>
      <w:numFmt w:val="lowerLetter"/>
      <w:lvlText w:val="%5."/>
      <w:lvlJc w:val="left"/>
      <w:pPr>
        <w:tabs>
          <w:tab w:val="num" w:pos="3873"/>
        </w:tabs>
        <w:ind w:left="3873" w:hanging="360"/>
      </w:pPr>
    </w:lvl>
    <w:lvl w:ilvl="5" w:tplc="0409001B" w:tentative="1">
      <w:start w:val="1"/>
      <w:numFmt w:val="lowerRoman"/>
      <w:lvlText w:val="%6."/>
      <w:lvlJc w:val="right"/>
      <w:pPr>
        <w:tabs>
          <w:tab w:val="num" w:pos="4593"/>
        </w:tabs>
        <w:ind w:left="4593" w:hanging="180"/>
      </w:pPr>
    </w:lvl>
    <w:lvl w:ilvl="6" w:tplc="0409000F" w:tentative="1">
      <w:start w:val="1"/>
      <w:numFmt w:val="decimal"/>
      <w:lvlText w:val="%7."/>
      <w:lvlJc w:val="left"/>
      <w:pPr>
        <w:tabs>
          <w:tab w:val="num" w:pos="5313"/>
        </w:tabs>
        <w:ind w:left="5313" w:hanging="360"/>
      </w:pPr>
    </w:lvl>
    <w:lvl w:ilvl="7" w:tplc="04090019" w:tentative="1">
      <w:start w:val="1"/>
      <w:numFmt w:val="lowerLetter"/>
      <w:lvlText w:val="%8."/>
      <w:lvlJc w:val="left"/>
      <w:pPr>
        <w:tabs>
          <w:tab w:val="num" w:pos="6033"/>
        </w:tabs>
        <w:ind w:left="6033" w:hanging="360"/>
      </w:pPr>
    </w:lvl>
    <w:lvl w:ilvl="8" w:tplc="0409001B" w:tentative="1">
      <w:start w:val="1"/>
      <w:numFmt w:val="lowerRoman"/>
      <w:lvlText w:val="%9."/>
      <w:lvlJc w:val="right"/>
      <w:pPr>
        <w:tabs>
          <w:tab w:val="num" w:pos="6753"/>
        </w:tabs>
        <w:ind w:left="6753" w:hanging="180"/>
      </w:pPr>
    </w:lvl>
  </w:abstractNum>
  <w:abstractNum w:abstractNumId="6" w15:restartNumberingAfterBreak="0">
    <w:nsid w:val="136F4954"/>
    <w:multiLevelType w:val="hybridMultilevel"/>
    <w:tmpl w:val="D82A3F82"/>
    <w:lvl w:ilvl="0" w:tplc="412E0A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13FB1"/>
    <w:multiLevelType w:val="hybridMultilevel"/>
    <w:tmpl w:val="96EA1EB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3E146B"/>
    <w:multiLevelType w:val="singleLevel"/>
    <w:tmpl w:val="E040A3C8"/>
    <w:lvl w:ilvl="0">
      <w:start w:val="1"/>
      <w:numFmt w:val="lowerLetter"/>
      <w:lvlText w:val="%1."/>
      <w:lvlJc w:val="left"/>
      <w:pPr>
        <w:tabs>
          <w:tab w:val="num" w:pos="360"/>
        </w:tabs>
        <w:ind w:left="360" w:hanging="360"/>
      </w:pPr>
      <w:rPr>
        <w:rFonts w:hint="default"/>
      </w:rPr>
    </w:lvl>
  </w:abstractNum>
  <w:abstractNum w:abstractNumId="10" w15:restartNumberingAfterBreak="0">
    <w:nsid w:val="2508651F"/>
    <w:multiLevelType w:val="hybridMultilevel"/>
    <w:tmpl w:val="26B2CC2C"/>
    <w:lvl w:ilvl="0" w:tplc="04090019">
      <w:start w:val="1"/>
      <w:numFmt w:val="lowerLetter"/>
      <w:lvlText w:val="%1."/>
      <w:lvlJc w:val="left"/>
      <w:pPr>
        <w:tabs>
          <w:tab w:val="num" w:pos="1440"/>
        </w:tabs>
        <w:ind w:left="144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1" w15:restartNumberingAfterBreak="0">
    <w:nsid w:val="2C5B5A2E"/>
    <w:multiLevelType w:val="hybridMultilevel"/>
    <w:tmpl w:val="E1FC103C"/>
    <w:lvl w:ilvl="0" w:tplc="412E0A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B46AE0"/>
    <w:multiLevelType w:val="hybridMultilevel"/>
    <w:tmpl w:val="96EA1EB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C3074"/>
    <w:multiLevelType w:val="hybridMultilevel"/>
    <w:tmpl w:val="35F8F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EC0681"/>
    <w:multiLevelType w:val="hybridMultilevel"/>
    <w:tmpl w:val="770EF7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D1253"/>
    <w:multiLevelType w:val="hybridMultilevel"/>
    <w:tmpl w:val="6226D1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7734F1E"/>
    <w:multiLevelType w:val="hybridMultilevel"/>
    <w:tmpl w:val="018A6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35A89"/>
    <w:multiLevelType w:val="hybridMultilevel"/>
    <w:tmpl w:val="EC60B8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36E7285"/>
    <w:multiLevelType w:val="singleLevel"/>
    <w:tmpl w:val="60260578"/>
    <w:lvl w:ilvl="0">
      <w:start w:val="1"/>
      <w:numFmt w:val="lowerLetter"/>
      <w:lvlText w:val="%1."/>
      <w:lvlJc w:val="left"/>
      <w:pPr>
        <w:tabs>
          <w:tab w:val="num" w:pos="1080"/>
        </w:tabs>
        <w:ind w:left="1080" w:hanging="360"/>
      </w:pPr>
      <w:rPr>
        <w:rFonts w:hint="default"/>
      </w:rPr>
    </w:lvl>
  </w:abstractNum>
  <w:abstractNum w:abstractNumId="22" w15:restartNumberingAfterBreak="0">
    <w:nsid w:val="54E63BEB"/>
    <w:multiLevelType w:val="hybridMultilevel"/>
    <w:tmpl w:val="11FEC27C"/>
    <w:lvl w:ilvl="0" w:tplc="0409000F">
      <w:start w:val="1"/>
      <w:numFmt w:val="decimal"/>
      <w:lvlText w:val="%1."/>
      <w:lvlJc w:val="left"/>
      <w:pPr>
        <w:tabs>
          <w:tab w:val="num" w:pos="720"/>
        </w:tabs>
        <w:ind w:left="720" w:hanging="360"/>
      </w:pPr>
      <w:rPr>
        <w:rFonts w:hint="default"/>
      </w:rPr>
    </w:lvl>
    <w:lvl w:ilvl="1" w:tplc="C4E65AD4">
      <w:start w:val="1"/>
      <w:numFmt w:val="lowerLetter"/>
      <w:lvlText w:val="%2."/>
      <w:lvlJc w:val="left"/>
      <w:pPr>
        <w:tabs>
          <w:tab w:val="num" w:pos="1440"/>
        </w:tabs>
        <w:ind w:left="1440" w:hanging="360"/>
      </w:pPr>
      <w:rPr>
        <w:rFonts w:hint="default"/>
      </w:rPr>
    </w:lvl>
    <w:lvl w:ilvl="2" w:tplc="811CB54E">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235BC1"/>
    <w:multiLevelType w:val="hybridMultilevel"/>
    <w:tmpl w:val="CEDEB00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8732DB"/>
    <w:multiLevelType w:val="hybridMultilevel"/>
    <w:tmpl w:val="632E64BE"/>
    <w:lvl w:ilvl="0" w:tplc="22DCC4F0">
      <w:start w:val="1"/>
      <w:numFmt w:val="decimal"/>
      <w:lvlText w:val="%1."/>
      <w:lvlJc w:val="left"/>
      <w:pPr>
        <w:tabs>
          <w:tab w:val="num" w:pos="993"/>
        </w:tabs>
        <w:ind w:left="993"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0E577A"/>
    <w:multiLevelType w:val="hybridMultilevel"/>
    <w:tmpl w:val="74020A32"/>
    <w:lvl w:ilvl="0" w:tplc="008AE70A">
      <w:start w:val="6"/>
      <w:numFmt w:val="decimal"/>
      <w:lvlText w:val="%1."/>
      <w:lvlJc w:val="left"/>
      <w:pPr>
        <w:tabs>
          <w:tab w:val="num" w:pos="720"/>
        </w:tabs>
        <w:ind w:left="720" w:hanging="360"/>
      </w:pPr>
      <w:rPr>
        <w:rFonts w:hint="default"/>
      </w:rPr>
    </w:lvl>
    <w:lvl w:ilvl="1" w:tplc="6E3E9E0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49435E"/>
    <w:multiLevelType w:val="hybridMultilevel"/>
    <w:tmpl w:val="5EF20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61A33"/>
    <w:multiLevelType w:val="hybridMultilevel"/>
    <w:tmpl w:val="938C0F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30" w15:restartNumberingAfterBreak="0">
    <w:nsid w:val="6F3C1D24"/>
    <w:multiLevelType w:val="hybridMultilevel"/>
    <w:tmpl w:val="55D8B9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F12492"/>
    <w:multiLevelType w:val="hybridMultilevel"/>
    <w:tmpl w:val="1B70ED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A9367F"/>
    <w:multiLevelType w:val="hybridMultilevel"/>
    <w:tmpl w:val="18605DC2"/>
    <w:lvl w:ilvl="0" w:tplc="BF9A1DE4">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3"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184290">
    <w:abstractNumId w:val="2"/>
  </w:num>
  <w:num w:numId="2" w16cid:durableId="530537840">
    <w:abstractNumId w:val="33"/>
  </w:num>
  <w:num w:numId="3" w16cid:durableId="1531190291">
    <w:abstractNumId w:val="15"/>
  </w:num>
  <w:num w:numId="4" w16cid:durableId="1874609321">
    <w:abstractNumId w:val="24"/>
  </w:num>
  <w:num w:numId="5" w16cid:durableId="1272276761">
    <w:abstractNumId w:val="7"/>
  </w:num>
  <w:num w:numId="6" w16cid:durableId="667908764">
    <w:abstractNumId w:val="34"/>
  </w:num>
  <w:num w:numId="7" w16cid:durableId="2042826608">
    <w:abstractNumId w:val="1"/>
  </w:num>
  <w:num w:numId="8" w16cid:durableId="28531395">
    <w:abstractNumId w:val="29"/>
  </w:num>
  <w:num w:numId="9" w16cid:durableId="1706561979">
    <w:abstractNumId w:val="3"/>
  </w:num>
  <w:num w:numId="10" w16cid:durableId="1488011337">
    <w:abstractNumId w:val="18"/>
  </w:num>
  <w:num w:numId="11" w16cid:durableId="472452644">
    <w:abstractNumId w:val="13"/>
  </w:num>
  <w:num w:numId="12" w16cid:durableId="938370163">
    <w:abstractNumId w:val="23"/>
  </w:num>
  <w:num w:numId="13" w16cid:durableId="1256284235">
    <w:abstractNumId w:val="0"/>
  </w:num>
  <w:num w:numId="14" w16cid:durableId="2066178032">
    <w:abstractNumId w:val="12"/>
  </w:num>
  <w:num w:numId="15" w16cid:durableId="445320877">
    <w:abstractNumId w:val="16"/>
  </w:num>
  <w:num w:numId="16" w16cid:durableId="1764885138">
    <w:abstractNumId w:val="22"/>
  </w:num>
  <w:num w:numId="17" w16cid:durableId="156117856">
    <w:abstractNumId w:val="10"/>
  </w:num>
  <w:num w:numId="18" w16cid:durableId="1170484463">
    <w:abstractNumId w:val="19"/>
  </w:num>
  <w:num w:numId="19" w16cid:durableId="962659284">
    <w:abstractNumId w:val="21"/>
  </w:num>
  <w:num w:numId="20" w16cid:durableId="351492413">
    <w:abstractNumId w:val="9"/>
  </w:num>
  <w:num w:numId="21" w16cid:durableId="511342533">
    <w:abstractNumId w:val="8"/>
  </w:num>
  <w:num w:numId="22" w16cid:durableId="2089686897">
    <w:abstractNumId w:val="31"/>
  </w:num>
  <w:num w:numId="23" w16cid:durableId="662852113">
    <w:abstractNumId w:val="11"/>
  </w:num>
  <w:num w:numId="24" w16cid:durableId="723140315">
    <w:abstractNumId w:val="6"/>
  </w:num>
  <w:num w:numId="25" w16cid:durableId="631713227">
    <w:abstractNumId w:val="26"/>
  </w:num>
  <w:num w:numId="26" w16cid:durableId="1964463198">
    <w:abstractNumId w:val="32"/>
  </w:num>
  <w:num w:numId="27" w16cid:durableId="502013393">
    <w:abstractNumId w:val="5"/>
  </w:num>
  <w:num w:numId="28" w16cid:durableId="1589774043">
    <w:abstractNumId w:val="27"/>
  </w:num>
  <w:num w:numId="29" w16cid:durableId="43138410">
    <w:abstractNumId w:val="25"/>
  </w:num>
  <w:num w:numId="30" w16cid:durableId="259991181">
    <w:abstractNumId w:val="17"/>
  </w:num>
  <w:num w:numId="31" w16cid:durableId="2054844896">
    <w:abstractNumId w:val="4"/>
  </w:num>
  <w:num w:numId="32" w16cid:durableId="1713924235">
    <w:abstractNumId w:val="28"/>
  </w:num>
  <w:num w:numId="33" w16cid:durableId="1442142776">
    <w:abstractNumId w:val="30"/>
  </w:num>
  <w:num w:numId="34" w16cid:durableId="1044788806">
    <w:abstractNumId w:val="20"/>
  </w:num>
  <w:num w:numId="35" w16cid:durableId="8842916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06E56"/>
    <w:rsid w:val="00012023"/>
    <w:rsid w:val="00017F74"/>
    <w:rsid w:val="00021B74"/>
    <w:rsid w:val="00044541"/>
    <w:rsid w:val="00070BDF"/>
    <w:rsid w:val="00081736"/>
    <w:rsid w:val="00082324"/>
    <w:rsid w:val="00094CD8"/>
    <w:rsid w:val="000A6E5F"/>
    <w:rsid w:val="000B630E"/>
    <w:rsid w:val="000C2C35"/>
    <w:rsid w:val="00136EFD"/>
    <w:rsid w:val="001742BB"/>
    <w:rsid w:val="00186CF8"/>
    <w:rsid w:val="00187FBC"/>
    <w:rsid w:val="001C3485"/>
    <w:rsid w:val="002174C0"/>
    <w:rsid w:val="00226A30"/>
    <w:rsid w:val="00291140"/>
    <w:rsid w:val="002A459E"/>
    <w:rsid w:val="002B4451"/>
    <w:rsid w:val="002C3AAE"/>
    <w:rsid w:val="002F1E12"/>
    <w:rsid w:val="00321569"/>
    <w:rsid w:val="00366B62"/>
    <w:rsid w:val="00383057"/>
    <w:rsid w:val="00397851"/>
    <w:rsid w:val="003A605C"/>
    <w:rsid w:val="003D1A88"/>
    <w:rsid w:val="003D60B9"/>
    <w:rsid w:val="004201B2"/>
    <w:rsid w:val="00437E00"/>
    <w:rsid w:val="00496194"/>
    <w:rsid w:val="004C4532"/>
    <w:rsid w:val="004F18AD"/>
    <w:rsid w:val="004F7E1E"/>
    <w:rsid w:val="00506198"/>
    <w:rsid w:val="00527521"/>
    <w:rsid w:val="00532642"/>
    <w:rsid w:val="005608B5"/>
    <w:rsid w:val="0057094F"/>
    <w:rsid w:val="005C22A3"/>
    <w:rsid w:val="0063112F"/>
    <w:rsid w:val="006318B2"/>
    <w:rsid w:val="00636251"/>
    <w:rsid w:val="0064513A"/>
    <w:rsid w:val="00663FB2"/>
    <w:rsid w:val="006772EC"/>
    <w:rsid w:val="00684197"/>
    <w:rsid w:val="006B0EE9"/>
    <w:rsid w:val="006C1F75"/>
    <w:rsid w:val="006E0A7C"/>
    <w:rsid w:val="006E409F"/>
    <w:rsid w:val="006F139A"/>
    <w:rsid w:val="006F25F3"/>
    <w:rsid w:val="007133B8"/>
    <w:rsid w:val="00714021"/>
    <w:rsid w:val="00721119"/>
    <w:rsid w:val="007313A7"/>
    <w:rsid w:val="00743644"/>
    <w:rsid w:val="00797130"/>
    <w:rsid w:val="007D240F"/>
    <w:rsid w:val="007D3C3F"/>
    <w:rsid w:val="007D5F4F"/>
    <w:rsid w:val="00806F6F"/>
    <w:rsid w:val="008317BC"/>
    <w:rsid w:val="00857EA6"/>
    <w:rsid w:val="008870D8"/>
    <w:rsid w:val="00895928"/>
    <w:rsid w:val="008A1C39"/>
    <w:rsid w:val="008E6ADE"/>
    <w:rsid w:val="008F216A"/>
    <w:rsid w:val="008F49D4"/>
    <w:rsid w:val="00912F60"/>
    <w:rsid w:val="00914055"/>
    <w:rsid w:val="0091763A"/>
    <w:rsid w:val="009342A6"/>
    <w:rsid w:val="009647F9"/>
    <w:rsid w:val="009C6E90"/>
    <w:rsid w:val="00A57E29"/>
    <w:rsid w:val="00A61FB9"/>
    <w:rsid w:val="00AA04B1"/>
    <w:rsid w:val="00AE71B9"/>
    <w:rsid w:val="00AE7566"/>
    <w:rsid w:val="00AF6889"/>
    <w:rsid w:val="00B11482"/>
    <w:rsid w:val="00B263DE"/>
    <w:rsid w:val="00B32106"/>
    <w:rsid w:val="00B34F9C"/>
    <w:rsid w:val="00B41D2D"/>
    <w:rsid w:val="00B50A61"/>
    <w:rsid w:val="00B60413"/>
    <w:rsid w:val="00B9334F"/>
    <w:rsid w:val="00BA3B2B"/>
    <w:rsid w:val="00BA51C0"/>
    <w:rsid w:val="00BB5074"/>
    <w:rsid w:val="00BF3C0C"/>
    <w:rsid w:val="00C61619"/>
    <w:rsid w:val="00C70850"/>
    <w:rsid w:val="00CC3BEE"/>
    <w:rsid w:val="00D21409"/>
    <w:rsid w:val="00D51DFA"/>
    <w:rsid w:val="00D570D0"/>
    <w:rsid w:val="00D6358F"/>
    <w:rsid w:val="00DC7EA6"/>
    <w:rsid w:val="00DD17C5"/>
    <w:rsid w:val="00DF2634"/>
    <w:rsid w:val="00E07D14"/>
    <w:rsid w:val="00E14C46"/>
    <w:rsid w:val="00E23FEF"/>
    <w:rsid w:val="00E313F8"/>
    <w:rsid w:val="00E547EA"/>
    <w:rsid w:val="00E73C23"/>
    <w:rsid w:val="00E810E1"/>
    <w:rsid w:val="00E96742"/>
    <w:rsid w:val="00EB2B63"/>
    <w:rsid w:val="00EC38B9"/>
    <w:rsid w:val="00EF7516"/>
    <w:rsid w:val="00F107CD"/>
    <w:rsid w:val="00F20E08"/>
    <w:rsid w:val="00F212B8"/>
    <w:rsid w:val="00F53FEA"/>
    <w:rsid w:val="00F558D2"/>
    <w:rsid w:val="00F95116"/>
    <w:rsid w:val="00FB2ACF"/>
    <w:rsid w:val="00FB6FDC"/>
    <w:rsid w:val="00FE2300"/>
    <w:rsid w:val="00FE6AC7"/>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E84537D"/>
  <w15:docId w15:val="{E9D37BF2-E8F4-416E-A1E1-DADC98F6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uiPriority w:val="99"/>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 w:type="paragraph" w:customStyle="1" w:styleId="CM342">
    <w:name w:val="CM342"/>
    <w:basedOn w:val="Default"/>
    <w:next w:val="Default"/>
    <w:uiPriority w:val="99"/>
    <w:rsid w:val="0063112F"/>
    <w:rPr>
      <w:rFonts w:eastAsia="Calibri"/>
      <w:color w:val="auto"/>
    </w:rPr>
  </w:style>
  <w:style w:type="paragraph" w:customStyle="1" w:styleId="CM340">
    <w:name w:val="CM340"/>
    <w:basedOn w:val="Default"/>
    <w:next w:val="Default"/>
    <w:uiPriority w:val="99"/>
    <w:rsid w:val="00E73C23"/>
    <w:rPr>
      <w:rFonts w:eastAsia="Calibri"/>
      <w:color w:val="auto"/>
    </w:rPr>
  </w:style>
  <w:style w:type="paragraph" w:customStyle="1" w:styleId="CM46">
    <w:name w:val="CM46"/>
    <w:basedOn w:val="Default"/>
    <w:next w:val="Default"/>
    <w:uiPriority w:val="99"/>
    <w:rsid w:val="00186CF8"/>
    <w:pPr>
      <w:spacing w:line="318" w:lineRule="atLeast"/>
    </w:pPr>
    <w:rPr>
      <w:rFonts w:eastAsia="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nsferDischargeNotices@odh.ohio.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914E4-1006-4B2F-B520-29FC3825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4</cp:revision>
  <cp:lastPrinted>2016-09-28T13:30:00Z</cp:lastPrinted>
  <dcterms:created xsi:type="dcterms:W3CDTF">2024-06-25T18:29:00Z</dcterms:created>
  <dcterms:modified xsi:type="dcterms:W3CDTF">2024-06-27T13:46:00Z</dcterms:modified>
</cp:coreProperties>
</file>