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12447" w14:textId="77777777" w:rsidR="00393773" w:rsidRPr="00393773" w:rsidRDefault="00393773" w:rsidP="00393773">
      <w:pPr>
        <w:pStyle w:val="Heading3"/>
        <w:rPr>
          <w:rFonts w:ascii="Avenir" w:hAnsi="Avenir"/>
        </w:rPr>
      </w:pPr>
      <w:r w:rsidRPr="00B35BBF">
        <w:rPr>
          <w:rFonts w:ascii="Avenir" w:hAnsi="Avenir"/>
        </w:rPr>
        <w:t>PURPOSE</w:t>
      </w:r>
    </w:p>
    <w:p w14:paraId="03299289" w14:textId="77777777" w:rsidR="00491E07" w:rsidRDefault="00491E07" w:rsidP="00491E07">
      <w:pPr>
        <w:spacing w:after="0" w:line="240" w:lineRule="auto"/>
        <w:rPr>
          <w:rFonts w:ascii="Georgia" w:hAnsi="Georgia"/>
        </w:rPr>
      </w:pPr>
    </w:p>
    <w:p w14:paraId="6CE743F8" w14:textId="77777777" w:rsidR="00393773" w:rsidRPr="00983F41" w:rsidRDefault="00393773" w:rsidP="00491E07">
      <w:pPr>
        <w:spacing w:after="0" w:line="240" w:lineRule="auto"/>
        <w:rPr>
          <w:rFonts w:ascii="Georgia" w:hAnsi="Georgia"/>
        </w:rPr>
      </w:pPr>
      <w:r w:rsidRPr="00983F41">
        <w:rPr>
          <w:rFonts w:ascii="Georgia" w:hAnsi="Georgia"/>
        </w:rPr>
        <w:t>To provide guidelines for the initial assessment of patients admitted to service and for completing the plan of care.</w:t>
      </w:r>
    </w:p>
    <w:p w14:paraId="7F2775C2" w14:textId="77777777" w:rsidR="00491E07" w:rsidRDefault="00491E07" w:rsidP="00491E07">
      <w:pPr>
        <w:pStyle w:val="Heading3"/>
        <w:rPr>
          <w:rFonts w:ascii="Avenir" w:hAnsi="Avenir"/>
        </w:rPr>
      </w:pPr>
    </w:p>
    <w:p w14:paraId="27DD7D34" w14:textId="77777777" w:rsidR="00393773" w:rsidRPr="00393773" w:rsidRDefault="00393773" w:rsidP="00491E07">
      <w:pPr>
        <w:pStyle w:val="Heading3"/>
        <w:rPr>
          <w:rFonts w:ascii="Avenir" w:hAnsi="Avenir"/>
        </w:rPr>
      </w:pPr>
      <w:r w:rsidRPr="00B35BBF">
        <w:rPr>
          <w:rFonts w:ascii="Avenir" w:hAnsi="Avenir"/>
        </w:rPr>
        <w:t>POLICY</w:t>
      </w:r>
    </w:p>
    <w:p w14:paraId="7718F2C1" w14:textId="77777777" w:rsidR="00491E07" w:rsidRDefault="00491E07" w:rsidP="00491E07">
      <w:pPr>
        <w:spacing w:after="0" w:line="240" w:lineRule="auto"/>
        <w:rPr>
          <w:rFonts w:ascii="Georgia" w:hAnsi="Georgia"/>
        </w:rPr>
      </w:pPr>
    </w:p>
    <w:p w14:paraId="1325BF2A" w14:textId="77777777" w:rsidR="00393773" w:rsidRDefault="00393773" w:rsidP="00491E07">
      <w:pPr>
        <w:spacing w:after="0" w:line="240" w:lineRule="auto"/>
        <w:rPr>
          <w:rFonts w:ascii="Georgia" w:hAnsi="Georgia"/>
        </w:rPr>
      </w:pPr>
      <w:r w:rsidRPr="00983F41">
        <w:rPr>
          <w:rFonts w:ascii="Georgia" w:hAnsi="Georgia"/>
        </w:rPr>
        <w:t xml:space="preserve">An initial patient assessment will be performed and documented in the patient’s clinical record by a registered nurse, physical therapist, </w:t>
      </w:r>
      <w:bookmarkStart w:id="0" w:name="_Hlk111721292"/>
      <w:r w:rsidR="00CC3B1C">
        <w:rPr>
          <w:rFonts w:ascii="Georgia" w:hAnsi="Georgia"/>
        </w:rPr>
        <w:t xml:space="preserve">occupational therapist, </w:t>
      </w:r>
      <w:bookmarkEnd w:id="0"/>
      <w:r w:rsidRPr="00983F41">
        <w:rPr>
          <w:rFonts w:ascii="Georgia" w:hAnsi="Georgia"/>
        </w:rPr>
        <w:t>or speech therapist</w:t>
      </w:r>
      <w:r w:rsidR="00491E07">
        <w:rPr>
          <w:rFonts w:ascii="Georgia" w:hAnsi="Georgia"/>
        </w:rPr>
        <w:t>.</w:t>
      </w:r>
    </w:p>
    <w:p w14:paraId="2A237B36" w14:textId="77777777" w:rsidR="00491E07" w:rsidRPr="00983F41" w:rsidRDefault="00491E07" w:rsidP="00491E07">
      <w:pPr>
        <w:spacing w:after="0" w:line="240" w:lineRule="auto"/>
        <w:rPr>
          <w:rFonts w:ascii="Georgia" w:hAnsi="Georgia"/>
        </w:rPr>
      </w:pPr>
    </w:p>
    <w:p w14:paraId="2E3A8F00" w14:textId="3F42AC5E" w:rsidR="00393773" w:rsidRDefault="00393773" w:rsidP="00491E07">
      <w:pPr>
        <w:spacing w:after="0" w:line="240" w:lineRule="auto"/>
        <w:rPr>
          <w:rFonts w:ascii="Georgia" w:hAnsi="Georgia"/>
        </w:rPr>
      </w:pPr>
      <w:r w:rsidRPr="00983F41">
        <w:rPr>
          <w:rFonts w:ascii="Georgia" w:hAnsi="Georgia"/>
        </w:rPr>
        <w:t xml:space="preserve">A comprehensive patient assessment will be completed within five (5) calendar days </w:t>
      </w:r>
      <w:r>
        <w:rPr>
          <w:rFonts w:ascii="Georgia" w:hAnsi="Georgia"/>
        </w:rPr>
        <w:t>of the patient’s start of care.</w:t>
      </w:r>
    </w:p>
    <w:p w14:paraId="7BDB756D" w14:textId="2D34CA4A" w:rsidR="002E7099" w:rsidRDefault="002E7099" w:rsidP="00491E07">
      <w:pPr>
        <w:spacing w:after="0" w:line="240" w:lineRule="auto"/>
        <w:rPr>
          <w:rFonts w:ascii="Georgia" w:hAnsi="Georgia"/>
        </w:rPr>
      </w:pPr>
    </w:p>
    <w:p w14:paraId="5D413DBE" w14:textId="219222F3" w:rsidR="002E7099" w:rsidRDefault="002E7099" w:rsidP="00491E07">
      <w:pPr>
        <w:spacing w:after="0" w:line="240" w:lineRule="auto"/>
        <w:rPr>
          <w:rFonts w:ascii="Georgia" w:hAnsi="Georgia"/>
        </w:rPr>
      </w:pPr>
      <w:r>
        <w:rPr>
          <w:rFonts w:ascii="Georgia" w:hAnsi="Georgia"/>
        </w:rPr>
        <w:t>Two patient identifiers will be used to identify the patient.  Acceptable patient identifiers are:</w:t>
      </w:r>
    </w:p>
    <w:p w14:paraId="7E5386BC" w14:textId="3D0326F0" w:rsidR="002E7099" w:rsidRDefault="002E7099" w:rsidP="002E7099">
      <w:pPr>
        <w:pStyle w:val="ListParagraph"/>
        <w:numPr>
          <w:ilvl w:val="0"/>
          <w:numId w:val="15"/>
        </w:numPr>
        <w:spacing w:after="0" w:line="240" w:lineRule="auto"/>
        <w:rPr>
          <w:rFonts w:ascii="Georgia" w:hAnsi="Georgia"/>
        </w:rPr>
      </w:pPr>
      <w:r>
        <w:rPr>
          <w:rFonts w:ascii="Georgia" w:hAnsi="Georgia"/>
        </w:rPr>
        <w:t>Patient Name</w:t>
      </w:r>
    </w:p>
    <w:p w14:paraId="3CF98E8B" w14:textId="359B46E9" w:rsidR="002E7099" w:rsidRDefault="002E7099" w:rsidP="002E7099">
      <w:pPr>
        <w:pStyle w:val="ListParagraph"/>
        <w:numPr>
          <w:ilvl w:val="0"/>
          <w:numId w:val="15"/>
        </w:numPr>
        <w:spacing w:after="0" w:line="240" w:lineRule="auto"/>
        <w:rPr>
          <w:rFonts w:ascii="Georgia" w:hAnsi="Georgia"/>
        </w:rPr>
      </w:pPr>
      <w:r>
        <w:rPr>
          <w:rFonts w:ascii="Georgia" w:hAnsi="Georgia"/>
        </w:rPr>
        <w:t>Date of Birth</w:t>
      </w:r>
    </w:p>
    <w:p w14:paraId="3174C152" w14:textId="0EFACC76" w:rsidR="002E7099" w:rsidRDefault="002E7099" w:rsidP="002E7099">
      <w:pPr>
        <w:pStyle w:val="ListParagraph"/>
        <w:numPr>
          <w:ilvl w:val="0"/>
          <w:numId w:val="15"/>
        </w:numPr>
        <w:spacing w:after="0" w:line="240" w:lineRule="auto"/>
        <w:rPr>
          <w:rFonts w:ascii="Georgia" w:hAnsi="Georgia"/>
        </w:rPr>
      </w:pPr>
      <w:r>
        <w:rPr>
          <w:rFonts w:ascii="Georgia" w:hAnsi="Georgia"/>
        </w:rPr>
        <w:t>Social Security Numbers</w:t>
      </w:r>
    </w:p>
    <w:p w14:paraId="4682877C" w14:textId="2AA6D942" w:rsidR="002E7099" w:rsidRDefault="002E7099" w:rsidP="002E7099">
      <w:pPr>
        <w:pStyle w:val="ListParagraph"/>
        <w:numPr>
          <w:ilvl w:val="0"/>
          <w:numId w:val="15"/>
        </w:numPr>
        <w:spacing w:after="0" w:line="240" w:lineRule="auto"/>
        <w:rPr>
          <w:rFonts w:ascii="Georgia" w:hAnsi="Georgia"/>
        </w:rPr>
      </w:pPr>
      <w:r>
        <w:rPr>
          <w:rFonts w:ascii="Georgia" w:hAnsi="Georgia"/>
        </w:rPr>
        <w:t>Photo Identification</w:t>
      </w:r>
    </w:p>
    <w:p w14:paraId="5DE992D0" w14:textId="0B5143B5" w:rsidR="002E7099" w:rsidRDefault="002E7099" w:rsidP="002E7099">
      <w:pPr>
        <w:pStyle w:val="ListParagraph"/>
        <w:numPr>
          <w:ilvl w:val="0"/>
          <w:numId w:val="15"/>
        </w:numPr>
        <w:spacing w:after="0" w:line="240" w:lineRule="auto"/>
        <w:rPr>
          <w:rFonts w:ascii="Georgia" w:hAnsi="Georgia"/>
        </w:rPr>
      </w:pPr>
      <w:r>
        <w:rPr>
          <w:rFonts w:ascii="Georgia" w:hAnsi="Georgia"/>
        </w:rPr>
        <w:t>Insurance Card</w:t>
      </w:r>
    </w:p>
    <w:p w14:paraId="479F3C24" w14:textId="4E8F81E1" w:rsidR="002E7099" w:rsidRDefault="002E7099" w:rsidP="002E7099">
      <w:pPr>
        <w:pStyle w:val="ListParagraph"/>
        <w:numPr>
          <w:ilvl w:val="0"/>
          <w:numId w:val="15"/>
        </w:numPr>
        <w:spacing w:after="0" w:line="240" w:lineRule="auto"/>
        <w:rPr>
          <w:rFonts w:ascii="Georgia" w:hAnsi="Georgia"/>
        </w:rPr>
      </w:pPr>
      <w:r>
        <w:rPr>
          <w:rFonts w:ascii="Georgia" w:hAnsi="Georgia"/>
        </w:rPr>
        <w:t>Family/Caregiver verified identity</w:t>
      </w:r>
    </w:p>
    <w:p w14:paraId="7276758B" w14:textId="68BD5307" w:rsidR="002E7099" w:rsidRPr="0022557D" w:rsidRDefault="002E7099" w:rsidP="0022557D">
      <w:pPr>
        <w:pStyle w:val="ListParagraph"/>
        <w:numPr>
          <w:ilvl w:val="0"/>
          <w:numId w:val="15"/>
        </w:numPr>
        <w:spacing w:after="0" w:line="240" w:lineRule="auto"/>
        <w:rPr>
          <w:rFonts w:ascii="Georgia" w:hAnsi="Georgia"/>
        </w:rPr>
      </w:pPr>
      <w:r>
        <w:rPr>
          <w:rFonts w:ascii="Georgia" w:hAnsi="Georgia"/>
        </w:rPr>
        <w:t>Visual recognition</w:t>
      </w:r>
    </w:p>
    <w:p w14:paraId="178CB850" w14:textId="5927ECE6" w:rsidR="00491E07" w:rsidRDefault="00491E07" w:rsidP="00491E07">
      <w:pPr>
        <w:spacing w:after="0" w:line="240" w:lineRule="auto"/>
        <w:rPr>
          <w:rFonts w:ascii="Georgia" w:hAnsi="Georgia"/>
        </w:rPr>
      </w:pPr>
    </w:p>
    <w:p w14:paraId="0C878937" w14:textId="77777777" w:rsidR="00393773" w:rsidRPr="00983F41" w:rsidRDefault="00393773" w:rsidP="00491E07">
      <w:pPr>
        <w:spacing w:after="0" w:line="240" w:lineRule="auto"/>
        <w:rPr>
          <w:rFonts w:ascii="Georgia" w:hAnsi="Georgia"/>
        </w:rPr>
      </w:pPr>
      <w:r w:rsidRPr="00983F41">
        <w:rPr>
          <w:rFonts w:ascii="Georgia" w:hAnsi="Georgia"/>
        </w:rPr>
        <w:t xml:space="preserve">The assessment will be patient-specific and comprehensive to include the patient’s need for home care, rehabilitative care, social, and discharge planning needs.  The assessment will also include the exact use of the current versions of the Outcomes and Assessment Information Set (OASIS).  This assessment will measure patient outcomes from data collected at the start of care and at the following defined intervals thereafter: </w:t>
      </w:r>
    </w:p>
    <w:p w14:paraId="46A7C6A4" w14:textId="77777777" w:rsidR="00393773" w:rsidRPr="00393773" w:rsidRDefault="00393773" w:rsidP="00491E07">
      <w:pPr>
        <w:pStyle w:val="BodyTextIndent"/>
        <w:numPr>
          <w:ilvl w:val="0"/>
          <w:numId w:val="12"/>
        </w:numPr>
        <w:tabs>
          <w:tab w:val="clear" w:pos="720"/>
        </w:tabs>
        <w:ind w:left="432" w:hanging="432"/>
        <w:rPr>
          <w:rFonts w:ascii="Georgia" w:hAnsi="Georgia"/>
        </w:rPr>
      </w:pPr>
      <w:r w:rsidRPr="00983F41">
        <w:rPr>
          <w:rFonts w:ascii="Georgia" w:hAnsi="Georgia"/>
        </w:rPr>
        <w:t>The last five (5) days of every 60-day episode beginning with the start of care date (recertification)</w:t>
      </w:r>
    </w:p>
    <w:p w14:paraId="2D7C5C3E" w14:textId="77777777" w:rsidR="00393773" w:rsidRPr="00393773" w:rsidRDefault="00393773" w:rsidP="00491E07">
      <w:pPr>
        <w:pStyle w:val="BodyTextIndent"/>
        <w:numPr>
          <w:ilvl w:val="0"/>
          <w:numId w:val="12"/>
        </w:numPr>
        <w:tabs>
          <w:tab w:val="clear" w:pos="720"/>
        </w:tabs>
        <w:ind w:left="432" w:hanging="432"/>
        <w:rPr>
          <w:rFonts w:ascii="Georgia" w:hAnsi="Georgia"/>
        </w:rPr>
      </w:pPr>
      <w:r w:rsidRPr="00983F41">
        <w:rPr>
          <w:rFonts w:ascii="Georgia" w:hAnsi="Georgia"/>
        </w:rPr>
        <w:t>Upon transfer</w:t>
      </w:r>
    </w:p>
    <w:p w14:paraId="16EB8820" w14:textId="77777777" w:rsidR="00393773" w:rsidRPr="00393773" w:rsidRDefault="00393773" w:rsidP="00491E07">
      <w:pPr>
        <w:pStyle w:val="BodyTextIndent"/>
        <w:numPr>
          <w:ilvl w:val="0"/>
          <w:numId w:val="12"/>
        </w:numPr>
        <w:tabs>
          <w:tab w:val="clear" w:pos="720"/>
        </w:tabs>
        <w:ind w:left="432" w:hanging="432"/>
        <w:rPr>
          <w:rFonts w:ascii="Georgia" w:hAnsi="Georgia"/>
        </w:rPr>
      </w:pPr>
      <w:r w:rsidRPr="00983F41">
        <w:rPr>
          <w:rFonts w:ascii="Georgia" w:hAnsi="Georgia"/>
        </w:rPr>
        <w:lastRenderedPageBreak/>
        <w:t>Significant change in condition resulting in a new case mix</w:t>
      </w:r>
      <w:r w:rsidR="00CC3B1C">
        <w:rPr>
          <w:rFonts w:ascii="Georgia" w:hAnsi="Georgia"/>
        </w:rPr>
        <w:t xml:space="preserve"> – Follow-up assessment</w:t>
      </w:r>
    </w:p>
    <w:p w14:paraId="64D1DFAE" w14:textId="77777777" w:rsidR="00393773" w:rsidRPr="00393773" w:rsidRDefault="00393773" w:rsidP="00491E07">
      <w:pPr>
        <w:pStyle w:val="BodyTextIndent"/>
        <w:numPr>
          <w:ilvl w:val="0"/>
          <w:numId w:val="12"/>
        </w:numPr>
        <w:tabs>
          <w:tab w:val="clear" w:pos="720"/>
        </w:tabs>
        <w:ind w:left="432" w:hanging="432"/>
        <w:rPr>
          <w:rFonts w:ascii="Georgia" w:hAnsi="Georgia"/>
        </w:rPr>
      </w:pPr>
      <w:r w:rsidRPr="00983F41">
        <w:rPr>
          <w:rFonts w:ascii="Georgia" w:hAnsi="Georgia"/>
        </w:rPr>
        <w:t>Within 48 hours of the patient’s return home or of the organization’s knowledge of the patient’s return from a 24-hour hospital admission for other than diagnostic testing</w:t>
      </w:r>
    </w:p>
    <w:p w14:paraId="627F0EEB" w14:textId="77777777" w:rsidR="00393773" w:rsidRPr="00983F41" w:rsidRDefault="00393773" w:rsidP="00491E07">
      <w:pPr>
        <w:pStyle w:val="BodyTextIndent"/>
        <w:numPr>
          <w:ilvl w:val="0"/>
          <w:numId w:val="12"/>
        </w:numPr>
        <w:tabs>
          <w:tab w:val="clear" w:pos="720"/>
        </w:tabs>
        <w:ind w:left="432" w:hanging="432"/>
        <w:rPr>
          <w:rFonts w:ascii="Georgia" w:hAnsi="Georgia"/>
        </w:rPr>
      </w:pPr>
      <w:r w:rsidRPr="00983F41">
        <w:rPr>
          <w:rFonts w:ascii="Georgia" w:hAnsi="Georgia"/>
        </w:rPr>
        <w:t>At discharge</w:t>
      </w:r>
    </w:p>
    <w:p w14:paraId="3F6C3F1D" w14:textId="77777777" w:rsidR="00393773" w:rsidRPr="00983F41" w:rsidRDefault="00393773" w:rsidP="00491E07">
      <w:pPr>
        <w:spacing w:after="0" w:line="240" w:lineRule="auto"/>
        <w:rPr>
          <w:rFonts w:ascii="Georgia" w:hAnsi="Georgia"/>
        </w:rPr>
      </w:pPr>
    </w:p>
    <w:p w14:paraId="36BE0B09" w14:textId="77777777" w:rsidR="00393773" w:rsidRDefault="00393773" w:rsidP="00491E07">
      <w:pPr>
        <w:pStyle w:val="Heading3"/>
        <w:rPr>
          <w:rFonts w:ascii="Avenir" w:hAnsi="Avenir"/>
        </w:rPr>
      </w:pPr>
      <w:r w:rsidRPr="00B35BBF">
        <w:rPr>
          <w:rFonts w:ascii="Avenir" w:hAnsi="Avenir"/>
        </w:rPr>
        <w:t>PROCEDURE</w:t>
      </w:r>
    </w:p>
    <w:p w14:paraId="33BA2765" w14:textId="77777777" w:rsidR="00491E07" w:rsidRPr="00491E07" w:rsidRDefault="00491E07" w:rsidP="00491E07">
      <w:pPr>
        <w:pStyle w:val="Heading3"/>
        <w:rPr>
          <w:rFonts w:ascii="Avenir" w:hAnsi="Avenir"/>
          <w:sz w:val="22"/>
        </w:rPr>
      </w:pPr>
    </w:p>
    <w:p w14:paraId="07862057" w14:textId="77777777" w:rsidR="00393773" w:rsidRDefault="00393773" w:rsidP="00491E07">
      <w:pPr>
        <w:pStyle w:val="BodyTextIndent"/>
        <w:numPr>
          <w:ilvl w:val="0"/>
          <w:numId w:val="13"/>
        </w:numPr>
        <w:tabs>
          <w:tab w:val="clear" w:pos="720"/>
        </w:tabs>
        <w:ind w:left="432" w:hanging="432"/>
        <w:rPr>
          <w:rFonts w:ascii="Georgia" w:hAnsi="Georgia"/>
        </w:rPr>
      </w:pPr>
      <w:r w:rsidRPr="00393773">
        <w:rPr>
          <w:rFonts w:ascii="Georgia" w:hAnsi="Georgia"/>
        </w:rPr>
        <w:t>The initial assessment and comprehensive assessment must be conducted by a registered nurse unless physical therapy</w:t>
      </w:r>
      <w:r w:rsidR="00CC3B1C">
        <w:rPr>
          <w:rFonts w:ascii="Georgia" w:hAnsi="Georgia"/>
        </w:rPr>
        <w:t>,</w:t>
      </w:r>
      <w:r w:rsidR="00CC3B1C" w:rsidRPr="00CC3B1C">
        <w:rPr>
          <w:rFonts w:ascii="Georgia" w:hAnsi="Georgia"/>
        </w:rPr>
        <w:t xml:space="preserve"> </w:t>
      </w:r>
      <w:r w:rsidR="00CC3B1C">
        <w:rPr>
          <w:rFonts w:ascii="Georgia" w:hAnsi="Georgia"/>
        </w:rPr>
        <w:t xml:space="preserve">occupational therapy, </w:t>
      </w:r>
      <w:r w:rsidRPr="00393773">
        <w:rPr>
          <w:rFonts w:ascii="Georgia" w:hAnsi="Georgia"/>
        </w:rPr>
        <w:t>or speech language pathology is the only requested service for that patient.  In those cases, the physical therapist or speech therapist may conduct the initial assessment and the comprehensive assessment.  These assessments may be conducted by the occupational therapist if the need for occupational therapy establishes program eligibility</w:t>
      </w:r>
      <w:r>
        <w:rPr>
          <w:rFonts w:ascii="Georgia" w:hAnsi="Georgia"/>
        </w:rPr>
        <w:t>.</w:t>
      </w:r>
    </w:p>
    <w:p w14:paraId="3F936A7E" w14:textId="77777777" w:rsidR="00393773" w:rsidRDefault="00393773" w:rsidP="00491E07">
      <w:pPr>
        <w:pStyle w:val="BodyTextIndent"/>
        <w:numPr>
          <w:ilvl w:val="0"/>
          <w:numId w:val="13"/>
        </w:numPr>
        <w:tabs>
          <w:tab w:val="clear" w:pos="720"/>
        </w:tabs>
        <w:ind w:left="432" w:hanging="432"/>
        <w:rPr>
          <w:rFonts w:ascii="Georgia" w:hAnsi="Georgia"/>
        </w:rPr>
      </w:pPr>
      <w:r w:rsidRPr="00393773">
        <w:rPr>
          <w:rFonts w:ascii="Georgia" w:hAnsi="Georgia"/>
        </w:rPr>
        <w:t>The comprehensive assessment for each patient must be completed in its entirety by a single clinician</w:t>
      </w:r>
      <w:r w:rsidR="00CC3B1C">
        <w:rPr>
          <w:rFonts w:ascii="Georgia" w:hAnsi="Georgia"/>
        </w:rPr>
        <w:t xml:space="preserve"> with input from other evaluating disciplines.</w:t>
      </w:r>
    </w:p>
    <w:p w14:paraId="15694928" w14:textId="77777777" w:rsidR="00393773" w:rsidRPr="00393773" w:rsidRDefault="00393773" w:rsidP="00491E07">
      <w:pPr>
        <w:pStyle w:val="BodyTextIndent"/>
        <w:numPr>
          <w:ilvl w:val="0"/>
          <w:numId w:val="13"/>
        </w:numPr>
        <w:tabs>
          <w:tab w:val="clear" w:pos="720"/>
        </w:tabs>
        <w:ind w:left="432" w:hanging="432"/>
        <w:rPr>
          <w:rFonts w:ascii="Georgia" w:hAnsi="Georgia"/>
        </w:rPr>
      </w:pPr>
      <w:r w:rsidRPr="00393773">
        <w:rPr>
          <w:rFonts w:ascii="Georgia" w:hAnsi="Georgia"/>
        </w:rPr>
        <w:t>During the initial and comprehensive patient assessment, all baseline data to be used in measuring the patient’s progress towards goals and other relevant information will be documented in the patient’s clinical record, including at least the following information, if applicable:</w:t>
      </w:r>
    </w:p>
    <w:p w14:paraId="03282DCB" w14:textId="77777777" w:rsid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Outcomes and Assessment Information Set (OASIS) data must be collected on all patients receiving s</w:t>
      </w:r>
      <w:r>
        <w:rPr>
          <w:rFonts w:ascii="Georgia" w:hAnsi="Georgia"/>
        </w:rPr>
        <w:t>killed services except pre</w:t>
      </w:r>
      <w:r w:rsidRPr="00393773">
        <w:rPr>
          <w:rFonts w:ascii="Georgia" w:hAnsi="Georgia"/>
        </w:rPr>
        <w:t xml:space="preserve"> and postpartum patients, patients under the age of 18, and patients whose care is reimbursed by a private insurance company.  OASIS data collection is not required for patients who are receiving only personal care or support services (patients receiving only homemaker services).  The OASIS data will be collected during the comprehensive assessment.  The assessment tool must also include the exact use of the current versions of the OASIS data set.</w:t>
      </w:r>
    </w:p>
    <w:p w14:paraId="3771894E" w14:textId="77777777" w:rsid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 xml:space="preserve">A physical assessment, including blood pressure, temperature, pulse, respiration, skin, pain status, height/weight, nutritional status, and other relevant data related to pertinent physical findings. </w:t>
      </w:r>
    </w:p>
    <w:p w14:paraId="19AD56E6"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Patient’s functional status, including but not limited to, the degree of self-care, and the amount and level of assistance needed in the following areas:</w:t>
      </w:r>
    </w:p>
    <w:p w14:paraId="29EB6CB4" w14:textId="77777777" w:rsidR="00393773" w:rsidRPr="00393773" w:rsidRDefault="00393773" w:rsidP="00491E07">
      <w:pPr>
        <w:pStyle w:val="BodyTextIndent3"/>
        <w:numPr>
          <w:ilvl w:val="1"/>
          <w:numId w:val="13"/>
        </w:numPr>
        <w:tabs>
          <w:tab w:val="clear" w:pos="1500"/>
        </w:tabs>
        <w:spacing w:after="0" w:line="240" w:lineRule="auto"/>
        <w:ind w:left="1296" w:hanging="432"/>
        <w:rPr>
          <w:rFonts w:ascii="Georgia" w:hAnsi="Georgia"/>
          <w:sz w:val="22"/>
          <w:szCs w:val="22"/>
        </w:rPr>
      </w:pPr>
      <w:r w:rsidRPr="00393773">
        <w:rPr>
          <w:rFonts w:ascii="Georgia" w:hAnsi="Georgia"/>
          <w:sz w:val="22"/>
          <w:szCs w:val="22"/>
        </w:rPr>
        <w:t>Eating</w:t>
      </w:r>
    </w:p>
    <w:p w14:paraId="47B6033E" w14:textId="77777777" w:rsidR="00393773" w:rsidRPr="00393773" w:rsidRDefault="00393773" w:rsidP="00491E07">
      <w:pPr>
        <w:pStyle w:val="BodyTextIndent3"/>
        <w:numPr>
          <w:ilvl w:val="1"/>
          <w:numId w:val="13"/>
        </w:numPr>
        <w:tabs>
          <w:tab w:val="clear" w:pos="1500"/>
        </w:tabs>
        <w:spacing w:after="0" w:line="240" w:lineRule="auto"/>
        <w:ind w:left="1296" w:hanging="432"/>
        <w:rPr>
          <w:rFonts w:ascii="Georgia" w:hAnsi="Georgia"/>
          <w:sz w:val="22"/>
          <w:szCs w:val="22"/>
        </w:rPr>
      </w:pPr>
      <w:r w:rsidRPr="00393773">
        <w:rPr>
          <w:rFonts w:ascii="Georgia" w:hAnsi="Georgia"/>
          <w:sz w:val="22"/>
          <w:szCs w:val="22"/>
        </w:rPr>
        <w:t>Meal preparation</w:t>
      </w:r>
    </w:p>
    <w:p w14:paraId="2CA730CD" w14:textId="77777777" w:rsidR="00393773" w:rsidRPr="00393773" w:rsidRDefault="00393773" w:rsidP="00491E07">
      <w:pPr>
        <w:pStyle w:val="BodyTextIndent3"/>
        <w:numPr>
          <w:ilvl w:val="1"/>
          <w:numId w:val="13"/>
        </w:numPr>
        <w:tabs>
          <w:tab w:val="clear" w:pos="1500"/>
        </w:tabs>
        <w:spacing w:after="0" w:line="240" w:lineRule="auto"/>
        <w:ind w:left="1296" w:hanging="432"/>
        <w:rPr>
          <w:rFonts w:ascii="Georgia" w:hAnsi="Georgia"/>
          <w:sz w:val="22"/>
          <w:szCs w:val="22"/>
        </w:rPr>
      </w:pPr>
      <w:r w:rsidRPr="00393773">
        <w:rPr>
          <w:rFonts w:ascii="Georgia" w:hAnsi="Georgia"/>
          <w:sz w:val="22"/>
          <w:szCs w:val="22"/>
        </w:rPr>
        <w:t>Toileting/continence</w:t>
      </w:r>
    </w:p>
    <w:p w14:paraId="2507E2B2" w14:textId="77777777" w:rsidR="00393773" w:rsidRPr="00393773" w:rsidRDefault="00393773" w:rsidP="00491E07">
      <w:pPr>
        <w:pStyle w:val="BodyTextIndent3"/>
        <w:numPr>
          <w:ilvl w:val="1"/>
          <w:numId w:val="13"/>
        </w:numPr>
        <w:tabs>
          <w:tab w:val="clear" w:pos="1500"/>
        </w:tabs>
        <w:spacing w:after="0" w:line="240" w:lineRule="auto"/>
        <w:ind w:left="1296" w:hanging="432"/>
        <w:rPr>
          <w:rFonts w:ascii="Georgia" w:hAnsi="Georgia"/>
          <w:sz w:val="22"/>
          <w:szCs w:val="22"/>
        </w:rPr>
      </w:pPr>
      <w:r w:rsidRPr="00393773">
        <w:rPr>
          <w:rFonts w:ascii="Georgia" w:hAnsi="Georgia"/>
          <w:sz w:val="22"/>
          <w:szCs w:val="22"/>
        </w:rPr>
        <w:t>Transfer</w:t>
      </w:r>
    </w:p>
    <w:p w14:paraId="3A907F4F" w14:textId="77777777" w:rsidR="00393773" w:rsidRPr="00393773" w:rsidRDefault="00393773" w:rsidP="00491E07">
      <w:pPr>
        <w:pStyle w:val="BodyTextIndent3"/>
        <w:numPr>
          <w:ilvl w:val="1"/>
          <w:numId w:val="13"/>
        </w:numPr>
        <w:tabs>
          <w:tab w:val="clear" w:pos="1500"/>
        </w:tabs>
        <w:spacing w:after="0" w:line="240" w:lineRule="auto"/>
        <w:ind w:left="1296" w:hanging="432"/>
        <w:rPr>
          <w:rFonts w:ascii="Georgia" w:hAnsi="Georgia"/>
          <w:sz w:val="22"/>
          <w:szCs w:val="22"/>
        </w:rPr>
      </w:pPr>
      <w:r w:rsidRPr="00393773">
        <w:rPr>
          <w:rFonts w:ascii="Georgia" w:hAnsi="Georgia"/>
          <w:sz w:val="22"/>
          <w:szCs w:val="22"/>
        </w:rPr>
        <w:t>Ambulation</w:t>
      </w:r>
    </w:p>
    <w:p w14:paraId="5470DFD3" w14:textId="77777777" w:rsidR="00393773" w:rsidRPr="00393773" w:rsidRDefault="00393773" w:rsidP="00491E07">
      <w:pPr>
        <w:pStyle w:val="BodyTextIndent3"/>
        <w:numPr>
          <w:ilvl w:val="1"/>
          <w:numId w:val="13"/>
        </w:numPr>
        <w:tabs>
          <w:tab w:val="clear" w:pos="1500"/>
        </w:tabs>
        <w:spacing w:after="0" w:line="240" w:lineRule="auto"/>
        <w:ind w:left="1296" w:hanging="432"/>
        <w:rPr>
          <w:rFonts w:ascii="Georgia" w:hAnsi="Georgia"/>
          <w:sz w:val="22"/>
          <w:szCs w:val="22"/>
        </w:rPr>
      </w:pPr>
      <w:r w:rsidRPr="00393773">
        <w:rPr>
          <w:rFonts w:ascii="Georgia" w:hAnsi="Georgia"/>
          <w:sz w:val="22"/>
          <w:szCs w:val="22"/>
        </w:rPr>
        <w:t>Shopping, cleaning, laundry</w:t>
      </w:r>
    </w:p>
    <w:p w14:paraId="09479199" w14:textId="77777777" w:rsidR="00393773" w:rsidRPr="00393773" w:rsidRDefault="00393773" w:rsidP="00491E07">
      <w:pPr>
        <w:pStyle w:val="BodyTextIndent3"/>
        <w:numPr>
          <w:ilvl w:val="1"/>
          <w:numId w:val="13"/>
        </w:numPr>
        <w:tabs>
          <w:tab w:val="clear" w:pos="1500"/>
        </w:tabs>
        <w:spacing w:after="0" w:line="240" w:lineRule="auto"/>
        <w:ind w:left="1296" w:hanging="432"/>
        <w:rPr>
          <w:rFonts w:ascii="Georgia" w:hAnsi="Georgia"/>
          <w:sz w:val="22"/>
          <w:szCs w:val="22"/>
        </w:rPr>
      </w:pPr>
      <w:r w:rsidRPr="00393773">
        <w:rPr>
          <w:rFonts w:ascii="Georgia" w:hAnsi="Georgia"/>
          <w:sz w:val="22"/>
          <w:szCs w:val="22"/>
        </w:rPr>
        <w:t>Bathing</w:t>
      </w:r>
    </w:p>
    <w:p w14:paraId="19A95C4C" w14:textId="77777777" w:rsidR="00393773" w:rsidRPr="00393773" w:rsidRDefault="00393773" w:rsidP="00491E07">
      <w:pPr>
        <w:pStyle w:val="BodyTextIndent3"/>
        <w:numPr>
          <w:ilvl w:val="1"/>
          <w:numId w:val="13"/>
        </w:numPr>
        <w:tabs>
          <w:tab w:val="clear" w:pos="1500"/>
        </w:tabs>
        <w:spacing w:after="0" w:line="240" w:lineRule="auto"/>
        <w:ind w:left="1296" w:hanging="432"/>
        <w:rPr>
          <w:rFonts w:ascii="Georgia" w:hAnsi="Georgia"/>
          <w:sz w:val="22"/>
          <w:szCs w:val="22"/>
        </w:rPr>
      </w:pPr>
      <w:r w:rsidRPr="00393773">
        <w:rPr>
          <w:rFonts w:ascii="Georgia" w:hAnsi="Georgia"/>
          <w:sz w:val="22"/>
          <w:szCs w:val="22"/>
        </w:rPr>
        <w:t>Dressing</w:t>
      </w:r>
    </w:p>
    <w:p w14:paraId="11468E8D" w14:textId="77777777" w:rsidR="00393773" w:rsidRPr="00393773" w:rsidRDefault="00393773" w:rsidP="00491E07">
      <w:pPr>
        <w:pStyle w:val="BodyTextIndent3"/>
        <w:numPr>
          <w:ilvl w:val="1"/>
          <w:numId w:val="13"/>
        </w:numPr>
        <w:tabs>
          <w:tab w:val="clear" w:pos="1500"/>
        </w:tabs>
        <w:spacing w:after="0" w:line="240" w:lineRule="auto"/>
        <w:ind w:left="1296" w:hanging="432"/>
        <w:rPr>
          <w:rFonts w:ascii="Georgia" w:hAnsi="Georgia"/>
          <w:sz w:val="22"/>
          <w:szCs w:val="22"/>
        </w:rPr>
      </w:pPr>
      <w:r w:rsidRPr="00393773">
        <w:rPr>
          <w:rFonts w:ascii="Georgia" w:hAnsi="Georgia"/>
          <w:sz w:val="22"/>
          <w:szCs w:val="22"/>
        </w:rPr>
        <w:t>Use of telephone</w:t>
      </w:r>
    </w:p>
    <w:p w14:paraId="5AD780E0" w14:textId="77777777" w:rsidR="00393773" w:rsidRDefault="00393773" w:rsidP="00491E07">
      <w:pPr>
        <w:pStyle w:val="BodyTextIndent3"/>
        <w:numPr>
          <w:ilvl w:val="1"/>
          <w:numId w:val="13"/>
        </w:numPr>
        <w:tabs>
          <w:tab w:val="clear" w:pos="1500"/>
        </w:tabs>
        <w:spacing w:after="0" w:line="240" w:lineRule="auto"/>
        <w:ind w:left="1296" w:hanging="432"/>
        <w:rPr>
          <w:rFonts w:ascii="Georgia" w:hAnsi="Georgia"/>
          <w:sz w:val="22"/>
          <w:szCs w:val="22"/>
        </w:rPr>
      </w:pPr>
      <w:r>
        <w:rPr>
          <w:rFonts w:ascii="Georgia" w:hAnsi="Georgia"/>
          <w:sz w:val="22"/>
          <w:szCs w:val="22"/>
        </w:rPr>
        <w:t>Mobility</w:t>
      </w:r>
    </w:p>
    <w:p w14:paraId="1878006C" w14:textId="77777777" w:rsid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Patient’s medical and psychosocial history, including pertinent diagnosis and prognosis.</w:t>
      </w:r>
    </w:p>
    <w:p w14:paraId="4EB4EA0D" w14:textId="77777777" w:rsid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The patient’s psychosocial status, including emotional barriers to treatment, cognitive limitations, memory, and orientation.</w:t>
      </w:r>
    </w:p>
    <w:p w14:paraId="0D83E51E" w14:textId="77777777" w:rsid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The patients and family/caregiver’s educational needs, abilities, motivation, and readiness to learn.</w:t>
      </w:r>
    </w:p>
    <w:p w14:paraId="17F9750F" w14:textId="77777777" w:rsid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Name and address of the patient’s physician.</w:t>
      </w:r>
    </w:p>
    <w:p w14:paraId="1CDDB365" w14:textId="77777777" w:rsidR="0083337C" w:rsidRDefault="00393773" w:rsidP="00491E07">
      <w:pPr>
        <w:pStyle w:val="BodyTextIndent2"/>
        <w:numPr>
          <w:ilvl w:val="0"/>
          <w:numId w:val="14"/>
        </w:numPr>
        <w:tabs>
          <w:tab w:val="clear" w:pos="792"/>
        </w:tabs>
        <w:ind w:left="864"/>
        <w:rPr>
          <w:rFonts w:ascii="Georgia" w:hAnsi="Georgia"/>
        </w:rPr>
        <w:sectPr w:rsidR="0083337C" w:rsidSect="00491E07">
          <w:headerReference w:type="default" r:id="rId8"/>
          <w:footerReference w:type="even" r:id="rId9"/>
          <w:footerReference w:type="default" r:id="rId10"/>
          <w:pgSz w:w="12240" w:h="15840"/>
          <w:pgMar w:top="1440" w:right="1440" w:bottom="1440" w:left="1440" w:header="720" w:footer="720" w:gutter="0"/>
          <w:cols w:space="720"/>
          <w:docGrid w:linePitch="360"/>
        </w:sectPr>
      </w:pPr>
      <w:r w:rsidRPr="00393773">
        <w:rPr>
          <w:rFonts w:ascii="Georgia" w:hAnsi="Georgia"/>
        </w:rPr>
        <w:t>Name of the hospital, other agencies, and persons involved in the past and present care of the patient.</w:t>
      </w:r>
    </w:p>
    <w:p w14:paraId="748B1171"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lastRenderedPageBreak/>
        <w:t>An evaluation of the home environment and assessment of emergency preparedness of the patient.</w:t>
      </w:r>
    </w:p>
    <w:p w14:paraId="16291C55"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Presence of any Advance Directives for care or discussions with patient and, as appropriate, family/caregiver, regarding the withholding of resuscitative services or the withdrawal of life-sustaining treatment.</w:t>
      </w:r>
    </w:p>
    <w:p w14:paraId="42309B28"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Wishes regarding care, treatment and end-of-life decisions.</w:t>
      </w:r>
    </w:p>
    <w:p w14:paraId="5DBD22CC"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Equipment presently in the home and potentially needed by patient.</w:t>
      </w:r>
    </w:p>
    <w:p w14:paraId="3BECE113"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Any identified symptoms of pain.</w:t>
      </w:r>
    </w:p>
    <w:p w14:paraId="0FBF1C17" w14:textId="77777777" w:rsidR="00393773" w:rsidRPr="00393773" w:rsidRDefault="00393773" w:rsidP="00491E07">
      <w:pPr>
        <w:pStyle w:val="BodyTextIndent2"/>
        <w:numPr>
          <w:ilvl w:val="0"/>
          <w:numId w:val="14"/>
        </w:numPr>
        <w:tabs>
          <w:tab w:val="clear" w:pos="792"/>
        </w:tabs>
        <w:ind w:left="864"/>
        <w:rPr>
          <w:rFonts w:ascii="Georgia" w:hAnsi="Georgia"/>
        </w:rPr>
      </w:pPr>
      <w:bookmarkStart w:id="1" w:name="_GoBack"/>
      <w:bookmarkEnd w:id="1"/>
      <w:r w:rsidRPr="00393773">
        <w:rPr>
          <w:rFonts w:ascii="Georgia" w:hAnsi="Georgia"/>
        </w:rPr>
        <w:t>Review of medication history, as applicable to care and service and current medication use, including prescription, over-the-counter medications and herbal medications, and identifying drug interactions, duplicative drug therapy, and noncompliance with therapy.</w:t>
      </w:r>
    </w:p>
    <w:p w14:paraId="31A55AC0"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 xml:space="preserve">If not the patient, identify the patient’s representative if any. </w:t>
      </w:r>
    </w:p>
    <w:p w14:paraId="2F973AAA"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 xml:space="preserve">Patient and family caregiver support systems and the type of care the family/caregiver is available, capable, and willing to provide. </w:t>
      </w:r>
    </w:p>
    <w:p w14:paraId="57B2471A"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Cultural and religious practices.</w:t>
      </w:r>
    </w:p>
    <w:p w14:paraId="6D5E84E3"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Involvement of family/caregiver, neighbors, or other individuals or organizations.</w:t>
      </w:r>
    </w:p>
    <w:p w14:paraId="5E1CED80"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Laboratory results.</w:t>
      </w:r>
    </w:p>
    <w:p w14:paraId="16D03D37"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Medical, alcohol, and other drug history.</w:t>
      </w:r>
    </w:p>
    <w:p w14:paraId="4DC9282B"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Preventive and periodic health screening, including TB screening, if appropriate.</w:t>
      </w:r>
    </w:p>
    <w:p w14:paraId="3916D483"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Immunizations, when appropriate.</w:t>
      </w:r>
    </w:p>
    <w:p w14:paraId="3BE365BB"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Specific, individualized patient needs and problems pertinent to the care being provided.</w:t>
      </w:r>
    </w:p>
    <w:p w14:paraId="1DC27CFE"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Past medical and surgical care including dates of onset/exacerbation.</w:t>
      </w:r>
    </w:p>
    <w:p w14:paraId="4941EFBE" w14:textId="77777777" w:rsidR="00393773" w:rsidRPr="00393773" w:rsidRDefault="00393773" w:rsidP="00491E07">
      <w:pPr>
        <w:pStyle w:val="BodyTextIndent2"/>
        <w:numPr>
          <w:ilvl w:val="0"/>
          <w:numId w:val="14"/>
        </w:numPr>
        <w:tabs>
          <w:tab w:val="clear" w:pos="792"/>
        </w:tabs>
        <w:ind w:left="864"/>
        <w:rPr>
          <w:rFonts w:ascii="Georgia" w:hAnsi="Georgia"/>
        </w:rPr>
      </w:pPr>
      <w:r w:rsidRPr="00393773">
        <w:rPr>
          <w:rFonts w:ascii="Georgia" w:hAnsi="Georgia"/>
        </w:rPr>
        <w:t>Anticipated discharge needs.</w:t>
      </w:r>
    </w:p>
    <w:p w14:paraId="01973334" w14:textId="77777777" w:rsidR="00393773" w:rsidRPr="00393773" w:rsidRDefault="00393773" w:rsidP="00491E07">
      <w:pPr>
        <w:pStyle w:val="BodyTextIndent"/>
        <w:numPr>
          <w:ilvl w:val="0"/>
          <w:numId w:val="13"/>
        </w:numPr>
        <w:tabs>
          <w:tab w:val="clear" w:pos="720"/>
        </w:tabs>
        <w:ind w:left="432" w:hanging="432"/>
        <w:rPr>
          <w:rFonts w:ascii="Georgia" w:hAnsi="Georgia"/>
        </w:rPr>
      </w:pPr>
      <w:r w:rsidRPr="00393773">
        <w:rPr>
          <w:rFonts w:ascii="Georgia" w:hAnsi="Georgia"/>
        </w:rPr>
        <w:t>The comprehensive assessment should determine:</w:t>
      </w:r>
    </w:p>
    <w:p w14:paraId="209409F0" w14:textId="77777777" w:rsidR="00393773" w:rsidRPr="00393773" w:rsidRDefault="00393773" w:rsidP="00491E07">
      <w:pPr>
        <w:pStyle w:val="BodyTextIndent2"/>
        <w:numPr>
          <w:ilvl w:val="2"/>
          <w:numId w:val="13"/>
        </w:numPr>
        <w:tabs>
          <w:tab w:val="clear" w:pos="2415"/>
        </w:tabs>
        <w:ind w:left="864" w:hanging="432"/>
        <w:rPr>
          <w:rFonts w:ascii="Georgia" w:hAnsi="Georgia"/>
        </w:rPr>
      </w:pPr>
      <w:r w:rsidRPr="00393773">
        <w:rPr>
          <w:rFonts w:ascii="Georgia" w:hAnsi="Georgia"/>
        </w:rPr>
        <w:t>Patient problems, needs, strengths, goals and care preferences</w:t>
      </w:r>
    </w:p>
    <w:p w14:paraId="6A4E10EE" w14:textId="77777777" w:rsidR="00393773" w:rsidRPr="00393773" w:rsidRDefault="00393773" w:rsidP="00491E07">
      <w:pPr>
        <w:pStyle w:val="BodyTextIndent2"/>
        <w:numPr>
          <w:ilvl w:val="2"/>
          <w:numId w:val="13"/>
        </w:numPr>
        <w:tabs>
          <w:tab w:val="clear" w:pos="2415"/>
        </w:tabs>
        <w:ind w:left="864" w:hanging="432"/>
        <w:rPr>
          <w:rFonts w:ascii="Georgia" w:hAnsi="Georgia"/>
        </w:rPr>
      </w:pPr>
      <w:r w:rsidRPr="00393773">
        <w:rPr>
          <w:rFonts w:ascii="Georgia" w:hAnsi="Georgia"/>
        </w:rPr>
        <w:t>The patient’s continuing need for home care</w:t>
      </w:r>
    </w:p>
    <w:p w14:paraId="4FEC7083" w14:textId="77777777" w:rsidR="00393773" w:rsidRPr="00393773" w:rsidRDefault="00393773" w:rsidP="00491E07">
      <w:pPr>
        <w:pStyle w:val="BodyTextIndent2"/>
        <w:numPr>
          <w:ilvl w:val="2"/>
          <w:numId w:val="13"/>
        </w:numPr>
        <w:tabs>
          <w:tab w:val="clear" w:pos="2415"/>
        </w:tabs>
        <w:ind w:left="864" w:hanging="432"/>
        <w:rPr>
          <w:rFonts w:ascii="Georgia" w:hAnsi="Georgia"/>
        </w:rPr>
      </w:pPr>
      <w:r w:rsidRPr="00393773">
        <w:rPr>
          <w:rFonts w:ascii="Georgia" w:hAnsi="Georgia"/>
        </w:rPr>
        <w:t>That the patient meets payment eligibility requirements (e.g., homebound status)</w:t>
      </w:r>
    </w:p>
    <w:p w14:paraId="3CA51EEB" w14:textId="77777777" w:rsidR="00393773" w:rsidRPr="00393773" w:rsidRDefault="00393773" w:rsidP="00491E07">
      <w:pPr>
        <w:pStyle w:val="BodyTextIndent2"/>
        <w:numPr>
          <w:ilvl w:val="2"/>
          <w:numId w:val="13"/>
        </w:numPr>
        <w:tabs>
          <w:tab w:val="clear" w:pos="2415"/>
        </w:tabs>
        <w:ind w:left="864" w:hanging="432"/>
        <w:rPr>
          <w:rFonts w:ascii="Georgia" w:hAnsi="Georgia"/>
        </w:rPr>
      </w:pPr>
      <w:r w:rsidRPr="00393773">
        <w:rPr>
          <w:rFonts w:ascii="Georgia" w:hAnsi="Georgia"/>
        </w:rPr>
        <w:t>Patient prognosis</w:t>
      </w:r>
    </w:p>
    <w:p w14:paraId="259FE23B" w14:textId="77777777" w:rsidR="00393773" w:rsidRPr="00393773" w:rsidRDefault="00393773" w:rsidP="00491E07">
      <w:pPr>
        <w:pStyle w:val="BodyTextIndent2"/>
        <w:numPr>
          <w:ilvl w:val="2"/>
          <w:numId w:val="13"/>
        </w:numPr>
        <w:tabs>
          <w:tab w:val="clear" w:pos="2415"/>
        </w:tabs>
        <w:ind w:left="864" w:hanging="432"/>
        <w:rPr>
          <w:rFonts w:ascii="Georgia" w:hAnsi="Georgia"/>
        </w:rPr>
      </w:pPr>
      <w:r w:rsidRPr="00393773">
        <w:rPr>
          <w:rFonts w:ascii="Georgia" w:hAnsi="Georgia"/>
        </w:rPr>
        <w:t>Baseline information to be used to measure the patient’s progress toward achievement of desired goals and outcomes</w:t>
      </w:r>
    </w:p>
    <w:p w14:paraId="01B6C881" w14:textId="77777777" w:rsidR="00393773" w:rsidRPr="00393773" w:rsidRDefault="00393773" w:rsidP="00491E07">
      <w:pPr>
        <w:pStyle w:val="BodyTextIndent2"/>
        <w:numPr>
          <w:ilvl w:val="2"/>
          <w:numId w:val="13"/>
        </w:numPr>
        <w:tabs>
          <w:tab w:val="clear" w:pos="2415"/>
        </w:tabs>
        <w:ind w:left="864" w:hanging="432"/>
        <w:rPr>
          <w:rFonts w:ascii="Georgia" w:hAnsi="Georgia"/>
        </w:rPr>
      </w:pPr>
      <w:r w:rsidRPr="00393773">
        <w:rPr>
          <w:rFonts w:ascii="Georgia" w:hAnsi="Georgia"/>
        </w:rPr>
        <w:t>Plan of care, including type of services, frequency, and duration</w:t>
      </w:r>
    </w:p>
    <w:p w14:paraId="5C36B2E3" w14:textId="77777777" w:rsidR="00393773" w:rsidRPr="00393773" w:rsidRDefault="00393773" w:rsidP="00491E07">
      <w:pPr>
        <w:pStyle w:val="BodyTextIndent2"/>
        <w:numPr>
          <w:ilvl w:val="2"/>
          <w:numId w:val="13"/>
        </w:numPr>
        <w:tabs>
          <w:tab w:val="clear" w:pos="2415"/>
        </w:tabs>
        <w:ind w:left="864" w:hanging="432"/>
        <w:rPr>
          <w:rFonts w:ascii="Georgia" w:hAnsi="Georgia"/>
        </w:rPr>
      </w:pPr>
      <w:r w:rsidRPr="00393773">
        <w:rPr>
          <w:rFonts w:ascii="Georgia" w:hAnsi="Georgia"/>
        </w:rPr>
        <w:t>The ability of the organization to adequately meet the patient’s medical, nursing, rehabilitation, social and discharge planning needs</w:t>
      </w:r>
    </w:p>
    <w:p w14:paraId="397986E2" w14:textId="77777777" w:rsidR="00393773" w:rsidRDefault="00393773" w:rsidP="00491E07">
      <w:pPr>
        <w:pStyle w:val="BodyTextIndent"/>
        <w:numPr>
          <w:ilvl w:val="0"/>
          <w:numId w:val="13"/>
        </w:numPr>
        <w:tabs>
          <w:tab w:val="clear" w:pos="720"/>
        </w:tabs>
        <w:ind w:left="432" w:hanging="432"/>
        <w:rPr>
          <w:rFonts w:ascii="Georgia" w:hAnsi="Georgia"/>
        </w:rPr>
      </w:pPr>
      <w:r w:rsidRPr="00393773">
        <w:rPr>
          <w:rFonts w:ascii="Georgia" w:hAnsi="Georgia"/>
        </w:rPr>
        <w:t>A plan of care will be developed from the information gathered during the initial and comprehensive assessment.  The patient’s physician is consulted for approval if additions or modifications to the plan of care are required after the assessment is completed.</w:t>
      </w:r>
    </w:p>
    <w:p w14:paraId="06386379" w14:textId="77777777" w:rsidR="007D240F" w:rsidRPr="00393773" w:rsidRDefault="00393773" w:rsidP="00491E07">
      <w:pPr>
        <w:pStyle w:val="BodyTextIndent"/>
        <w:numPr>
          <w:ilvl w:val="0"/>
          <w:numId w:val="13"/>
        </w:numPr>
        <w:tabs>
          <w:tab w:val="clear" w:pos="720"/>
        </w:tabs>
        <w:ind w:left="432" w:hanging="432"/>
        <w:rPr>
          <w:rFonts w:ascii="Georgia" w:hAnsi="Georgia"/>
        </w:rPr>
      </w:pPr>
      <w:r w:rsidRPr="00393773">
        <w:rPr>
          <w:rFonts w:ascii="Georgia" w:hAnsi="Georgia"/>
        </w:rPr>
        <w:t>The Clinical Supervisor or designee will be responsible for the review of the plan of care</w:t>
      </w:r>
      <w:r w:rsidR="00491E07">
        <w:rPr>
          <w:rFonts w:ascii="Georgia" w:hAnsi="Georgia"/>
        </w:rPr>
        <w:t>.</w:t>
      </w:r>
    </w:p>
    <w:sectPr w:rsidR="007D240F" w:rsidRPr="00393773" w:rsidSect="00491E0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EB135" w14:textId="77777777" w:rsidR="00B34CEA" w:rsidRDefault="00B34CEA" w:rsidP="00004886">
      <w:pPr>
        <w:spacing w:after="0" w:line="240" w:lineRule="auto"/>
      </w:pPr>
      <w:r>
        <w:separator/>
      </w:r>
    </w:p>
  </w:endnote>
  <w:endnote w:type="continuationSeparator" w:id="0">
    <w:p w14:paraId="28809EB7" w14:textId="77777777" w:rsidR="00B34CEA" w:rsidRDefault="00B34CEA"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178887536"/>
      <w:docPartObj>
        <w:docPartGallery w:val="Page Numbers (Top of Page)"/>
        <w:docPartUnique/>
      </w:docPartObj>
    </w:sdtPr>
    <w:sdtEndPr/>
    <w:sdtContent>
      <w:p w14:paraId="7C3074E5" w14:textId="77777777" w:rsidR="00491E07" w:rsidRPr="00491E07" w:rsidRDefault="00491E07" w:rsidP="00491E07">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5235B5B7" w14:textId="77777777" w:rsidR="004F6C2F" w:rsidRPr="00491E07" w:rsidRDefault="004F6C2F" w:rsidP="00491E07">
            <w:pPr>
              <w:pStyle w:val="Footer"/>
              <w:jc w:val="right"/>
              <w:rPr>
                <w:rFonts w:ascii="Avenir" w:hAnsi="Avenir"/>
              </w:rPr>
            </w:pPr>
            <w:r w:rsidRPr="0091763A">
              <w:rPr>
                <w:rFonts w:ascii="Avenir" w:hAnsi="Avenir"/>
              </w:rPr>
              <w:t xml:space="preserve">Page </w:t>
            </w:r>
            <w:r w:rsidR="0078691B" w:rsidRPr="0091763A">
              <w:rPr>
                <w:rFonts w:ascii="Avenir" w:hAnsi="Avenir"/>
                <w:b/>
                <w:sz w:val="24"/>
                <w:szCs w:val="24"/>
              </w:rPr>
              <w:fldChar w:fldCharType="begin"/>
            </w:r>
            <w:r w:rsidRPr="0091763A">
              <w:rPr>
                <w:rFonts w:ascii="Avenir" w:hAnsi="Avenir"/>
                <w:b/>
              </w:rPr>
              <w:instrText xml:space="preserve"> PAGE </w:instrText>
            </w:r>
            <w:r w:rsidR="0078691B" w:rsidRPr="0091763A">
              <w:rPr>
                <w:rFonts w:ascii="Avenir" w:hAnsi="Avenir"/>
                <w:b/>
                <w:sz w:val="24"/>
                <w:szCs w:val="24"/>
              </w:rPr>
              <w:fldChar w:fldCharType="separate"/>
            </w:r>
            <w:r w:rsidR="00DA2AB5">
              <w:rPr>
                <w:rFonts w:ascii="Avenir" w:hAnsi="Avenir"/>
                <w:b/>
                <w:noProof/>
              </w:rPr>
              <w:t>1</w:t>
            </w:r>
            <w:r w:rsidR="0078691B" w:rsidRPr="0091763A">
              <w:rPr>
                <w:rFonts w:ascii="Avenir" w:hAnsi="Avenir"/>
                <w:b/>
                <w:sz w:val="24"/>
                <w:szCs w:val="24"/>
              </w:rPr>
              <w:fldChar w:fldCharType="end"/>
            </w:r>
            <w:r w:rsidRPr="0091763A">
              <w:rPr>
                <w:rFonts w:ascii="Avenir" w:hAnsi="Avenir"/>
              </w:rPr>
              <w:t xml:space="preserve"> of </w:t>
            </w:r>
            <w:r w:rsidR="0078691B" w:rsidRPr="0091763A">
              <w:rPr>
                <w:rFonts w:ascii="Avenir" w:hAnsi="Avenir"/>
                <w:b/>
                <w:sz w:val="24"/>
                <w:szCs w:val="24"/>
              </w:rPr>
              <w:fldChar w:fldCharType="begin"/>
            </w:r>
            <w:r w:rsidRPr="0091763A">
              <w:rPr>
                <w:rFonts w:ascii="Avenir" w:hAnsi="Avenir"/>
                <w:b/>
              </w:rPr>
              <w:instrText xml:space="preserve"> NUMPAGES  </w:instrText>
            </w:r>
            <w:r w:rsidR="0078691B" w:rsidRPr="0091763A">
              <w:rPr>
                <w:rFonts w:ascii="Avenir" w:hAnsi="Avenir"/>
                <w:b/>
                <w:sz w:val="24"/>
                <w:szCs w:val="24"/>
              </w:rPr>
              <w:fldChar w:fldCharType="separate"/>
            </w:r>
            <w:r w:rsidR="00DA2AB5">
              <w:rPr>
                <w:rFonts w:ascii="Avenir" w:hAnsi="Avenir"/>
                <w:b/>
                <w:noProof/>
              </w:rPr>
              <w:t>5</w:t>
            </w:r>
            <w:r w:rsidR="0078691B"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C47E" w14:textId="77777777" w:rsidR="00B34CEA" w:rsidRDefault="00B34CEA" w:rsidP="00004886">
      <w:pPr>
        <w:spacing w:after="0" w:line="240" w:lineRule="auto"/>
      </w:pPr>
      <w:r>
        <w:separator/>
      </w:r>
    </w:p>
  </w:footnote>
  <w:footnote w:type="continuationSeparator" w:id="0">
    <w:p w14:paraId="69B82A9D" w14:textId="77777777" w:rsidR="00B34CEA" w:rsidRDefault="00B34CEA"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D7AB" w14:textId="77777777" w:rsidR="004F6C2F" w:rsidRDefault="00DA54C8"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76B69859" wp14:editId="55FF9859">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AEA9F"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B69859"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1F0AEA9F"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DA2AB5">
      <w:rPr>
        <w:noProof/>
      </w:rPr>
      <w:drawing>
        <wp:inline distT="0" distB="0" distL="0" distR="0" wp14:anchorId="49847EA6" wp14:editId="7AFB8ADB">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117"/>
    </w:tblGrid>
    <w:tr w:rsidR="00491E07" w:rsidRPr="00004886" w14:paraId="7DD5A6B6" w14:textId="77777777" w:rsidTr="00491E07">
      <w:trPr>
        <w:trHeight w:val="432"/>
      </w:trPr>
      <w:tc>
        <w:tcPr>
          <w:tcW w:w="9350" w:type="dxa"/>
          <w:gridSpan w:val="3"/>
          <w:shd w:val="clear" w:color="auto" w:fill="D9D9D9" w:themeFill="background1" w:themeFillShade="D9"/>
          <w:vAlign w:val="center"/>
        </w:tcPr>
        <w:p w14:paraId="3302647C" w14:textId="77777777" w:rsidR="00491E07" w:rsidRPr="0091763A" w:rsidRDefault="00491E07" w:rsidP="00491E0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491E07" w:rsidRPr="00004886" w14:paraId="527DA15D" w14:textId="77777777" w:rsidTr="00491E07">
      <w:trPr>
        <w:trHeight w:val="432"/>
      </w:trPr>
      <w:tc>
        <w:tcPr>
          <w:tcW w:w="9350" w:type="dxa"/>
          <w:gridSpan w:val="3"/>
          <w:vAlign w:val="center"/>
        </w:tcPr>
        <w:p w14:paraId="086980C4" w14:textId="77777777" w:rsidR="00491E07" w:rsidRPr="00383057" w:rsidRDefault="00491E07" w:rsidP="00491E07">
          <w:pPr>
            <w:spacing w:after="0" w:line="240" w:lineRule="auto"/>
            <w:rPr>
              <w:rFonts w:ascii="Georgia" w:eastAsiaTheme="minorHAnsi" w:hAnsi="Georgia" w:cstheme="minorBidi"/>
            </w:rPr>
          </w:pPr>
          <w:r>
            <w:rPr>
              <w:rFonts w:ascii="Georgia" w:eastAsiaTheme="minorHAnsi" w:hAnsi="Georgia" w:cstheme="minorBidi"/>
            </w:rPr>
            <w:t>Initial Comprehensive Assessment</w:t>
          </w:r>
        </w:p>
      </w:tc>
    </w:tr>
    <w:tr w:rsidR="004F6C2F" w:rsidRPr="00004886" w14:paraId="0EC1F514" w14:textId="77777777" w:rsidTr="00491E07">
      <w:tc>
        <w:tcPr>
          <w:tcW w:w="3114" w:type="dxa"/>
          <w:shd w:val="clear" w:color="auto" w:fill="D9D9D9" w:themeFill="background1" w:themeFillShade="D9"/>
        </w:tcPr>
        <w:p w14:paraId="38A45589"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14:paraId="13724010"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211070BE"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7A64C43A" w14:textId="77777777" w:rsidTr="00491E07">
      <w:tc>
        <w:tcPr>
          <w:tcW w:w="3114" w:type="dxa"/>
        </w:tcPr>
        <w:p w14:paraId="41E3C1C1" w14:textId="77777777" w:rsidR="004F6C2F" w:rsidRPr="00383057" w:rsidRDefault="00491E07"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r w:rsidR="004F6C2F">
            <w:rPr>
              <w:rFonts w:ascii="Georgia" w:eastAsiaTheme="minorHAnsi" w:hAnsi="Georgia" w:cstheme="minorBidi"/>
            </w:rPr>
            <w:t>14</w:t>
          </w:r>
        </w:p>
      </w:tc>
      <w:tc>
        <w:tcPr>
          <w:tcW w:w="3119" w:type="dxa"/>
          <w:tcMar>
            <w:top w:w="115" w:type="dxa"/>
            <w:left w:w="115" w:type="dxa"/>
            <w:bottom w:w="115" w:type="dxa"/>
            <w:right w:w="115" w:type="dxa"/>
          </w:tcMar>
        </w:tcPr>
        <w:p w14:paraId="598CD983" w14:textId="501D9C09" w:rsidR="004F6C2F" w:rsidRPr="00383057" w:rsidRDefault="0083337C" w:rsidP="00513DB0">
          <w:pPr>
            <w:spacing w:after="0" w:line="240" w:lineRule="auto"/>
            <w:rPr>
              <w:rFonts w:ascii="Georgia" w:eastAsiaTheme="minorHAnsi" w:hAnsi="Georgia" w:cstheme="minorBidi"/>
            </w:rPr>
          </w:pPr>
          <w:r>
            <w:rPr>
              <w:rFonts w:ascii="Georgia" w:eastAsiaTheme="minorHAnsi" w:hAnsi="Georgia" w:cstheme="minorBidi"/>
            </w:rPr>
            <w:t>07/03/2023</w:t>
          </w:r>
        </w:p>
      </w:tc>
      <w:tc>
        <w:tcPr>
          <w:tcW w:w="3117" w:type="dxa"/>
        </w:tcPr>
        <w:p w14:paraId="0B814C9C" w14:textId="541AF26C" w:rsidR="004F6C2F" w:rsidRPr="00383057" w:rsidRDefault="0083337C" w:rsidP="00513DB0">
          <w:pPr>
            <w:spacing w:after="0" w:line="240" w:lineRule="auto"/>
            <w:rPr>
              <w:rFonts w:ascii="Georgia" w:eastAsiaTheme="minorHAnsi" w:hAnsi="Georgia" w:cstheme="minorBidi"/>
            </w:rPr>
          </w:pPr>
          <w:r>
            <w:rPr>
              <w:rFonts w:ascii="Georgia" w:eastAsiaTheme="minorHAnsi" w:hAnsi="Georgia" w:cstheme="minorBidi"/>
            </w:rPr>
            <w:t>07/03/2025</w:t>
          </w:r>
        </w:p>
      </w:tc>
    </w:tr>
    <w:tr w:rsidR="00491E07" w:rsidRPr="00004886" w14:paraId="60FFC38E" w14:textId="77777777" w:rsidTr="00491E07">
      <w:trPr>
        <w:trHeight w:val="432"/>
      </w:trPr>
      <w:tc>
        <w:tcPr>
          <w:tcW w:w="9350" w:type="dxa"/>
          <w:gridSpan w:val="3"/>
          <w:shd w:val="clear" w:color="auto" w:fill="D9D9D9" w:themeFill="background1" w:themeFillShade="D9"/>
          <w:vAlign w:val="center"/>
        </w:tcPr>
        <w:p w14:paraId="06C8D0D2" w14:textId="77777777" w:rsidR="00491E07" w:rsidRPr="0091763A" w:rsidRDefault="00491E07" w:rsidP="00491E07">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491E07" w:rsidRPr="00004886" w14:paraId="0415B266" w14:textId="77777777" w:rsidTr="00491E07">
      <w:trPr>
        <w:trHeight w:val="576"/>
      </w:trPr>
      <w:tc>
        <w:tcPr>
          <w:tcW w:w="9350" w:type="dxa"/>
          <w:gridSpan w:val="3"/>
          <w:vAlign w:val="center"/>
        </w:tcPr>
        <w:p w14:paraId="4EFE126D" w14:textId="77777777" w:rsidR="00491E07" w:rsidRPr="00383057" w:rsidRDefault="00491E07" w:rsidP="00491E07">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91E07" w:rsidRPr="00004886" w14:paraId="217FF417" w14:textId="77777777" w:rsidTr="00491E07">
      <w:tc>
        <w:tcPr>
          <w:tcW w:w="9350" w:type="dxa"/>
          <w:gridSpan w:val="3"/>
          <w:shd w:val="clear" w:color="auto" w:fill="D9D9D9" w:themeFill="background1" w:themeFillShade="D9"/>
          <w:tcMar>
            <w:top w:w="115" w:type="dxa"/>
            <w:left w:w="115" w:type="dxa"/>
            <w:bottom w:w="115" w:type="dxa"/>
            <w:right w:w="115" w:type="dxa"/>
          </w:tcMar>
        </w:tcPr>
        <w:p w14:paraId="4F699B84" w14:textId="77777777" w:rsidR="00491E07" w:rsidRPr="0091763A" w:rsidRDefault="00491E07" w:rsidP="00491E07">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91E07" w:rsidRPr="00004886" w14:paraId="2A9DAE74" w14:textId="77777777" w:rsidTr="00491E07">
      <w:tc>
        <w:tcPr>
          <w:tcW w:w="9350" w:type="dxa"/>
          <w:gridSpan w:val="3"/>
          <w:shd w:val="clear" w:color="auto" w:fill="auto"/>
          <w:tcMar>
            <w:top w:w="115" w:type="dxa"/>
            <w:left w:w="115" w:type="dxa"/>
            <w:bottom w:w="115" w:type="dxa"/>
            <w:right w:w="115" w:type="dxa"/>
          </w:tcMar>
        </w:tcPr>
        <w:p w14:paraId="44C3E7BA" w14:textId="77777777" w:rsidR="00491E07" w:rsidRPr="00383057" w:rsidRDefault="00491E07" w:rsidP="00491E07">
          <w:pPr>
            <w:spacing w:after="0" w:line="240" w:lineRule="auto"/>
            <w:rPr>
              <w:rFonts w:ascii="Georgia" w:eastAsiaTheme="minorHAnsi" w:hAnsi="Georgia" w:cstheme="minorBidi"/>
            </w:rPr>
          </w:pPr>
        </w:p>
      </w:tc>
    </w:tr>
  </w:tbl>
  <w:p w14:paraId="7E3A507C" w14:textId="77777777" w:rsidR="004F6C2F" w:rsidRDefault="004F6C2F"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3FDE" w14:textId="77777777" w:rsidR="00491E07" w:rsidRDefault="00491E07" w:rsidP="00004886">
    <w:pPr>
      <w:pStyle w:val="Header"/>
      <w:ind w:left="-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8164A"/>
    <w:multiLevelType w:val="hybridMultilevel"/>
    <w:tmpl w:val="478892F8"/>
    <w:lvl w:ilvl="0" w:tplc="D87EE154">
      <w:start w:val="1"/>
      <w:numFmt w:val="decimal"/>
      <w:lvlText w:val="%1."/>
      <w:lvlJc w:val="left"/>
      <w:pPr>
        <w:tabs>
          <w:tab w:val="num" w:pos="720"/>
        </w:tabs>
        <w:ind w:left="720" w:hanging="360"/>
      </w:pPr>
      <w:rPr>
        <w:rFonts w:hint="default"/>
      </w:rPr>
    </w:lvl>
    <w:lvl w:ilvl="1" w:tplc="5F547EE2">
      <w:start w:val="1"/>
      <w:numFmt w:val="decimal"/>
      <w:lvlText w:val="%2."/>
      <w:lvlJc w:val="left"/>
      <w:pPr>
        <w:tabs>
          <w:tab w:val="num" w:pos="1500"/>
        </w:tabs>
        <w:ind w:left="1500" w:hanging="420"/>
      </w:pPr>
      <w:rPr>
        <w:rFonts w:hint="default"/>
      </w:rPr>
    </w:lvl>
    <w:lvl w:ilvl="2" w:tplc="CF64D788">
      <w:start w:val="1"/>
      <w:numFmt w:val="upperLetter"/>
      <w:lvlText w:val="%3."/>
      <w:lvlJc w:val="left"/>
      <w:pPr>
        <w:tabs>
          <w:tab w:val="num" w:pos="2415"/>
        </w:tabs>
        <w:ind w:left="2415" w:hanging="435"/>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6" w15:restartNumberingAfterBreak="0">
    <w:nsid w:val="319C704D"/>
    <w:multiLevelType w:val="hybridMultilevel"/>
    <w:tmpl w:val="C7406376"/>
    <w:lvl w:ilvl="0" w:tplc="A3C2C420">
      <w:start w:val="1"/>
      <w:numFmt w:val="decimal"/>
      <w:lvlText w:val="%1."/>
      <w:lvlJc w:val="left"/>
      <w:pPr>
        <w:tabs>
          <w:tab w:val="num" w:pos="720"/>
        </w:tabs>
        <w:ind w:left="720" w:hanging="360"/>
      </w:pPr>
      <w:rPr>
        <w:rFonts w:hint="default"/>
      </w:rPr>
    </w:lvl>
    <w:lvl w:ilvl="1" w:tplc="82E06BA4">
      <w:start w:val="1"/>
      <w:numFmt w:val="lowerRoman"/>
      <w:lvlText w:val="%2."/>
      <w:lvlJc w:val="left"/>
      <w:pPr>
        <w:tabs>
          <w:tab w:val="num" w:pos="1500"/>
        </w:tabs>
        <w:ind w:left="1500" w:hanging="420"/>
      </w:pPr>
      <w:rPr>
        <w:rFonts w:hint="default"/>
      </w:rPr>
    </w:lvl>
    <w:lvl w:ilvl="2" w:tplc="08528F9A">
      <w:start w:val="1"/>
      <w:numFmt w:val="upperLetter"/>
      <w:lvlText w:val="%3."/>
      <w:lvlJc w:val="left"/>
      <w:pPr>
        <w:tabs>
          <w:tab w:val="num" w:pos="2415"/>
        </w:tabs>
        <w:ind w:left="2415" w:hanging="435"/>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B647966"/>
    <w:multiLevelType w:val="hybridMultilevel"/>
    <w:tmpl w:val="EF984A50"/>
    <w:lvl w:ilvl="0" w:tplc="7BF8631E">
      <w:start w:val="1"/>
      <w:numFmt w:val="upperLetter"/>
      <w:lvlText w:val="%1."/>
      <w:lvlJc w:val="left"/>
      <w:pPr>
        <w:tabs>
          <w:tab w:val="num" w:pos="792"/>
        </w:tabs>
        <w:ind w:left="792" w:hanging="432"/>
      </w:pPr>
      <w:rPr>
        <w:rFonts w:hint="default"/>
      </w:rPr>
    </w:lvl>
    <w:lvl w:ilvl="1" w:tplc="5C9EB63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6469C7"/>
    <w:multiLevelType w:val="hybridMultilevel"/>
    <w:tmpl w:val="AE28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4"/>
  </w:num>
  <w:num w:numId="3">
    <w:abstractNumId w:val="7"/>
  </w:num>
  <w:num w:numId="4">
    <w:abstractNumId w:val="11"/>
  </w:num>
  <w:num w:numId="5">
    <w:abstractNumId w:val="9"/>
  </w:num>
  <w:num w:numId="6">
    <w:abstractNumId w:val="3"/>
  </w:num>
  <w:num w:numId="7">
    <w:abstractNumId w:val="5"/>
  </w:num>
  <w:num w:numId="8">
    <w:abstractNumId w:val="8"/>
  </w:num>
  <w:num w:numId="9">
    <w:abstractNumId w:val="4"/>
  </w:num>
  <w:num w:numId="10">
    <w:abstractNumId w:val="13"/>
  </w:num>
  <w:num w:numId="11">
    <w:abstractNumId w:val="2"/>
  </w:num>
  <w:num w:numId="12">
    <w:abstractNumId w:val="1"/>
  </w:num>
  <w:num w:numId="13">
    <w:abstractNumId w:val="6"/>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2174C0"/>
    <w:rsid w:val="0022557D"/>
    <w:rsid w:val="00275673"/>
    <w:rsid w:val="002E7099"/>
    <w:rsid w:val="00366B62"/>
    <w:rsid w:val="00383057"/>
    <w:rsid w:val="00393773"/>
    <w:rsid w:val="003A605C"/>
    <w:rsid w:val="004039FB"/>
    <w:rsid w:val="00491E07"/>
    <w:rsid w:val="00496194"/>
    <w:rsid w:val="004A578A"/>
    <w:rsid w:val="004B00A2"/>
    <w:rsid w:val="004F6C2F"/>
    <w:rsid w:val="004F7E1E"/>
    <w:rsid w:val="00513DB0"/>
    <w:rsid w:val="006206DC"/>
    <w:rsid w:val="006318B2"/>
    <w:rsid w:val="00636251"/>
    <w:rsid w:val="0064513A"/>
    <w:rsid w:val="006772EC"/>
    <w:rsid w:val="006C0ECD"/>
    <w:rsid w:val="00721119"/>
    <w:rsid w:val="00744C01"/>
    <w:rsid w:val="0078691B"/>
    <w:rsid w:val="007D240F"/>
    <w:rsid w:val="00806F6F"/>
    <w:rsid w:val="0083337C"/>
    <w:rsid w:val="00857EA6"/>
    <w:rsid w:val="008F49D4"/>
    <w:rsid w:val="00914055"/>
    <w:rsid w:val="0091763A"/>
    <w:rsid w:val="009342A6"/>
    <w:rsid w:val="00974762"/>
    <w:rsid w:val="009F3EE2"/>
    <w:rsid w:val="00A1280F"/>
    <w:rsid w:val="00A63F7C"/>
    <w:rsid w:val="00AC317F"/>
    <w:rsid w:val="00AF7CAE"/>
    <w:rsid w:val="00B34CEA"/>
    <w:rsid w:val="00BA51C0"/>
    <w:rsid w:val="00C105D6"/>
    <w:rsid w:val="00C70850"/>
    <w:rsid w:val="00C82A2B"/>
    <w:rsid w:val="00C97BB8"/>
    <w:rsid w:val="00CC3B1C"/>
    <w:rsid w:val="00DA2AB5"/>
    <w:rsid w:val="00DA54C8"/>
    <w:rsid w:val="00DD17C5"/>
    <w:rsid w:val="00DE38FB"/>
    <w:rsid w:val="00E547EA"/>
    <w:rsid w:val="00E810E1"/>
    <w:rsid w:val="00E85496"/>
    <w:rsid w:val="00F107CD"/>
    <w:rsid w:val="00F53FEA"/>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DE7EB2"/>
  <w15:docId w15:val="{798D67D0-8559-4A09-A98D-32661BC3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uiPriority w:val="99"/>
    <w:unhideWhenUsed/>
    <w:rsid w:val="00393773"/>
    <w:pPr>
      <w:spacing w:after="120"/>
      <w:ind w:left="360"/>
    </w:pPr>
    <w:rPr>
      <w:sz w:val="16"/>
      <w:szCs w:val="16"/>
    </w:rPr>
  </w:style>
  <w:style w:type="character" w:customStyle="1" w:styleId="BodyTextIndent3Char">
    <w:name w:val="Body Text Indent 3 Char"/>
    <w:basedOn w:val="DefaultParagraphFont"/>
    <w:link w:val="BodyTextIndent3"/>
    <w:uiPriority w:val="99"/>
    <w:rsid w:val="003937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5A63E-EB83-449A-9190-6EB6137E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4</cp:revision>
  <cp:lastPrinted>2017-10-13T18:32:00Z</cp:lastPrinted>
  <dcterms:created xsi:type="dcterms:W3CDTF">2023-07-05T13:19:00Z</dcterms:created>
  <dcterms:modified xsi:type="dcterms:W3CDTF">2023-07-05T13:21:00Z</dcterms:modified>
</cp:coreProperties>
</file>