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4F2C05" w14:textId="77777777" w:rsidR="00AA7F0B" w:rsidRPr="005F4D1B" w:rsidRDefault="00AA7F0B" w:rsidP="00F74405">
      <w:pPr>
        <w:pStyle w:val="Heading3"/>
        <w:spacing w:line="360" w:lineRule="auto"/>
        <w:rPr>
          <w:rFonts w:ascii="Avenir" w:hAnsi="Avenir"/>
          <w:sz w:val="22"/>
        </w:rPr>
      </w:pPr>
      <w:r w:rsidRPr="005F4D1B">
        <w:rPr>
          <w:rFonts w:ascii="Avenir" w:hAnsi="Avenir"/>
          <w:sz w:val="22"/>
        </w:rPr>
        <w:t>PURPOSE</w:t>
      </w:r>
    </w:p>
    <w:p w14:paraId="5E586E8B" w14:textId="77777777" w:rsidR="003B1056" w:rsidRPr="003B1056" w:rsidRDefault="003B1056" w:rsidP="003B1056">
      <w:pPr>
        <w:rPr>
          <w:rFonts w:ascii="Georgia" w:hAnsi="Georgia"/>
          <w:b/>
          <w:bCs/>
        </w:rPr>
      </w:pPr>
      <w:r w:rsidRPr="003B1056">
        <w:rPr>
          <w:rFonts w:ascii="Georgia" w:hAnsi="Georgia"/>
        </w:rPr>
        <w:t>To establish standards and a process by which a patient can be evaluated and accepted for admission.</w:t>
      </w:r>
    </w:p>
    <w:p w14:paraId="0195A337" w14:textId="77777777" w:rsidR="004463F9" w:rsidRDefault="004463F9" w:rsidP="005F4D1B">
      <w:pPr>
        <w:pStyle w:val="Heading3"/>
        <w:rPr>
          <w:rFonts w:ascii="Avenir" w:hAnsi="Avenir"/>
          <w:sz w:val="22"/>
        </w:rPr>
      </w:pPr>
      <w:bookmarkStart w:id="0" w:name="_Hlk6578093"/>
    </w:p>
    <w:p w14:paraId="64A32ADA" w14:textId="77777777" w:rsidR="005F4D1B" w:rsidRDefault="005F4D1B" w:rsidP="00F74405">
      <w:pPr>
        <w:pStyle w:val="Heading3"/>
        <w:spacing w:line="360" w:lineRule="auto"/>
        <w:rPr>
          <w:rFonts w:ascii="Avenir" w:hAnsi="Avenir"/>
          <w:sz w:val="22"/>
        </w:rPr>
      </w:pPr>
      <w:r w:rsidRPr="005F4D1B">
        <w:rPr>
          <w:rFonts w:ascii="Avenir" w:hAnsi="Avenir"/>
          <w:sz w:val="22"/>
        </w:rPr>
        <w:t>P</w:t>
      </w:r>
      <w:r>
        <w:rPr>
          <w:rFonts w:ascii="Avenir" w:hAnsi="Avenir"/>
          <w:sz w:val="22"/>
        </w:rPr>
        <w:t>olicy</w:t>
      </w:r>
    </w:p>
    <w:bookmarkEnd w:id="0"/>
    <w:p w14:paraId="62AFDE09" w14:textId="77777777" w:rsidR="003B1056" w:rsidRDefault="003B1056" w:rsidP="003B1056">
      <w:pPr>
        <w:rPr>
          <w:rFonts w:ascii="Georgia" w:hAnsi="Georgia"/>
        </w:rPr>
      </w:pPr>
      <w:r w:rsidRPr="003B1056">
        <w:rPr>
          <w:rFonts w:ascii="Georgia" w:hAnsi="Georgia"/>
        </w:rPr>
        <w:t>Patients will be accepted for care based on need for hospice services</w:t>
      </w:r>
      <w:r w:rsidR="004D3EC8">
        <w:rPr>
          <w:rFonts w:ascii="Georgia" w:hAnsi="Georgia"/>
        </w:rPr>
        <w:t xml:space="preserve"> and on the reasonable expectation that their physical, social, psychological and spiritual needs can be met throughout the continuum of hospice services</w:t>
      </w:r>
      <w:r w:rsidRPr="003B1056">
        <w:rPr>
          <w:rFonts w:ascii="Georgia" w:hAnsi="Georgia"/>
        </w:rPr>
        <w:t>.  Consideration will be given to the adequacy and suitability of hospice personnel, resources to provide the required services, and a reasonable expectation that the patient's hospice care needs can be adequately met in the patient's place of residence.</w:t>
      </w:r>
    </w:p>
    <w:p w14:paraId="0FE5F9B5" w14:textId="77777777" w:rsidR="003B1056" w:rsidRPr="003B1056" w:rsidRDefault="003B1056" w:rsidP="003B1056">
      <w:pPr>
        <w:rPr>
          <w:rFonts w:ascii="Georgia" w:hAnsi="Georgia"/>
        </w:rPr>
      </w:pPr>
    </w:p>
    <w:p w14:paraId="04A94097" w14:textId="77777777" w:rsidR="003B1056" w:rsidRPr="003B1056" w:rsidRDefault="003B1056" w:rsidP="003B1056">
      <w:pPr>
        <w:rPr>
          <w:rFonts w:ascii="Georgia" w:hAnsi="Georgia"/>
        </w:rPr>
      </w:pPr>
      <w:r w:rsidRPr="003B1056">
        <w:rPr>
          <w:rFonts w:ascii="Georgia" w:hAnsi="Georgia"/>
        </w:rPr>
        <w:t xml:space="preserve">While patients are accepted for services based on their hospice care needs, the patient's ability to pay for such services, whether through state or federal assistance programs, private insurance, or personal assets is a factor that will be considered. </w:t>
      </w:r>
    </w:p>
    <w:p w14:paraId="6C1F9E4B" w14:textId="77777777" w:rsidR="003B1056" w:rsidRPr="003B1056" w:rsidRDefault="003B1056" w:rsidP="003B1056">
      <w:pPr>
        <w:rPr>
          <w:rFonts w:ascii="Georgia" w:hAnsi="Georgia"/>
        </w:rPr>
      </w:pPr>
    </w:p>
    <w:p w14:paraId="1408A15A" w14:textId="77777777" w:rsidR="004D3EC8" w:rsidRDefault="004D3EC8" w:rsidP="003B1056">
      <w:pPr>
        <w:rPr>
          <w:rFonts w:ascii="Arial" w:hAnsi="Arial" w:cs="Arial"/>
          <w:szCs w:val="20"/>
          <w:shd w:val="clear" w:color="auto" w:fill="F5F5F5"/>
        </w:rPr>
      </w:pPr>
      <w:r w:rsidRPr="00845993">
        <w:rPr>
          <w:rFonts w:ascii="Georgia" w:hAnsi="Georgia" w:cs="Arial"/>
          <w:szCs w:val="20"/>
        </w:rPr>
        <w:t>Together, the patient/family, medical director, attending physician and hospice interdisciplinary group (IDG) participate in determining the appropriateness to begin hospice care</w:t>
      </w:r>
      <w:r w:rsidRPr="004D3EC8">
        <w:rPr>
          <w:rFonts w:ascii="Georgia" w:hAnsi="Georgia" w:cs="Arial"/>
          <w:szCs w:val="20"/>
          <w:shd w:val="clear" w:color="auto" w:fill="F5F5F5"/>
        </w:rPr>
        <w:t>.</w:t>
      </w:r>
      <w:r w:rsidRPr="004D3EC8">
        <w:rPr>
          <w:rFonts w:ascii="Arial" w:hAnsi="Arial" w:cs="Arial"/>
          <w:szCs w:val="20"/>
          <w:shd w:val="clear" w:color="auto" w:fill="F5F5F5"/>
        </w:rPr>
        <w:t xml:space="preserve"> </w:t>
      </w:r>
    </w:p>
    <w:p w14:paraId="2A22C826" w14:textId="77777777" w:rsidR="004D3EC8" w:rsidRDefault="004D3EC8" w:rsidP="003B1056">
      <w:pPr>
        <w:rPr>
          <w:rFonts w:ascii="Georgia" w:hAnsi="Georgia"/>
        </w:rPr>
      </w:pPr>
    </w:p>
    <w:p w14:paraId="1365141A" w14:textId="77777777" w:rsidR="003B1056" w:rsidRPr="003B1056" w:rsidRDefault="003B1056" w:rsidP="003B1056">
      <w:pPr>
        <w:rPr>
          <w:rFonts w:ascii="Georgia" w:hAnsi="Georgia"/>
        </w:rPr>
      </w:pPr>
      <w:r w:rsidRPr="003B1056">
        <w:rPr>
          <w:rFonts w:ascii="Georgia" w:hAnsi="Georgia"/>
        </w:rPr>
        <w:t>The patient's life-limiting illness and prognosis of six (6) months or less will be determined by utilizing standard clinical prognosis criteria developed by the fiscal intermediary’s Local Coverage Determinations (LCDs).</w:t>
      </w:r>
    </w:p>
    <w:p w14:paraId="27C0E910" w14:textId="77777777" w:rsidR="003B1056" w:rsidRPr="003B1056" w:rsidRDefault="003B1056" w:rsidP="003B1056">
      <w:pPr>
        <w:rPr>
          <w:rFonts w:ascii="Georgia" w:hAnsi="Georgia"/>
        </w:rPr>
      </w:pPr>
    </w:p>
    <w:p w14:paraId="2EB9C675" w14:textId="77777777" w:rsidR="003B1056" w:rsidRPr="003B1056" w:rsidRDefault="003B1056" w:rsidP="003B1056">
      <w:pPr>
        <w:rPr>
          <w:rFonts w:ascii="Georgia" w:hAnsi="Georgia"/>
        </w:rPr>
      </w:pPr>
      <w:r w:rsidRPr="003B1056">
        <w:rPr>
          <w:rFonts w:ascii="Georgia" w:hAnsi="Georgia"/>
        </w:rPr>
        <w:t xml:space="preserve">Ohio Living reserves the right not to accept any patient who does not meet the admission criteria. A patient </w:t>
      </w:r>
      <w:r w:rsidR="00976B3C">
        <w:rPr>
          <w:rFonts w:ascii="Georgia" w:hAnsi="Georgia"/>
        </w:rPr>
        <w:t>may</w:t>
      </w:r>
      <w:r w:rsidRPr="003B1056">
        <w:rPr>
          <w:rFonts w:ascii="Georgia" w:hAnsi="Georgia"/>
        </w:rPr>
        <w:t xml:space="preserve"> be referred to other resources if Ohio Living cannot meet his/her needs.</w:t>
      </w:r>
    </w:p>
    <w:p w14:paraId="27FF4076" w14:textId="77777777" w:rsidR="003B1056" w:rsidRPr="003B1056" w:rsidRDefault="003B1056" w:rsidP="003B1056">
      <w:pPr>
        <w:rPr>
          <w:rFonts w:ascii="Georgia" w:hAnsi="Georgia"/>
        </w:rPr>
      </w:pPr>
    </w:p>
    <w:p w14:paraId="0658AD10" w14:textId="6DCD8FB7" w:rsidR="003B1056" w:rsidRDefault="003B1056" w:rsidP="003B1056">
      <w:pPr>
        <w:rPr>
          <w:rFonts w:ascii="Georgia" w:hAnsi="Georgia"/>
        </w:rPr>
      </w:pPr>
      <w:r w:rsidRPr="003B1056">
        <w:rPr>
          <w:rFonts w:ascii="Georgia" w:hAnsi="Georgia"/>
        </w:rPr>
        <w:t xml:space="preserve">Once a patient is admitted to service, </w:t>
      </w:r>
      <w:r w:rsidR="004D3EC8">
        <w:rPr>
          <w:rFonts w:ascii="Georgia" w:hAnsi="Georgia"/>
        </w:rPr>
        <w:t xml:space="preserve">Ohio Living hospice </w:t>
      </w:r>
      <w:r w:rsidRPr="003B1056">
        <w:rPr>
          <w:rFonts w:ascii="Georgia" w:hAnsi="Georgia"/>
        </w:rPr>
        <w:t>will be responsible for providing care and services within its financial and service capabilities, mission, and applicable law and regulations.</w:t>
      </w:r>
    </w:p>
    <w:p w14:paraId="020F618F" w14:textId="77777777" w:rsidR="00A169BF" w:rsidRDefault="00A169BF" w:rsidP="003B1056">
      <w:pPr>
        <w:rPr>
          <w:rFonts w:ascii="Georgia" w:hAnsi="Georgia"/>
        </w:rPr>
      </w:pPr>
    </w:p>
    <w:p w14:paraId="32442255" w14:textId="77777777" w:rsidR="007635EF" w:rsidRPr="007635EF" w:rsidRDefault="007635EF" w:rsidP="00F74405">
      <w:pPr>
        <w:pStyle w:val="Heading3"/>
        <w:spacing w:line="360" w:lineRule="auto"/>
        <w:rPr>
          <w:rFonts w:ascii="Avenir" w:hAnsi="Avenir"/>
          <w:sz w:val="22"/>
        </w:rPr>
      </w:pPr>
      <w:r w:rsidRPr="007635EF">
        <w:rPr>
          <w:rFonts w:ascii="Avenir" w:hAnsi="Avenir"/>
          <w:sz w:val="22"/>
        </w:rPr>
        <w:t>Admission Criteria</w:t>
      </w:r>
    </w:p>
    <w:p w14:paraId="60FC378B" w14:textId="77777777" w:rsidR="00A169BF"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The patient must be under the care of a physician</w:t>
      </w:r>
      <w:r w:rsidR="002A02A9">
        <w:rPr>
          <w:rFonts w:ascii="Georgia" w:hAnsi="Georgia"/>
        </w:rPr>
        <w:t xml:space="preserve"> or may choose the Hospice Medical </w:t>
      </w:r>
    </w:p>
    <w:p w14:paraId="7AE5F450" w14:textId="231E6B04" w:rsidR="007635EF" w:rsidRPr="004E59FC" w:rsidRDefault="002A02A9" w:rsidP="00A169BF">
      <w:pPr>
        <w:pStyle w:val="BodyTextIndent"/>
        <w:ind w:firstLine="0"/>
        <w:rPr>
          <w:rFonts w:ascii="Georgia" w:hAnsi="Georgia"/>
        </w:rPr>
      </w:pPr>
      <w:r>
        <w:rPr>
          <w:rFonts w:ascii="Georgia" w:hAnsi="Georgia"/>
        </w:rPr>
        <w:lastRenderedPageBreak/>
        <w:t>Director as their attending physician</w:t>
      </w:r>
      <w:r w:rsidR="007635EF" w:rsidRPr="004E59FC">
        <w:rPr>
          <w:rFonts w:ascii="Georgia" w:hAnsi="Georgia"/>
        </w:rPr>
        <w:t>.  The patient's physician</w:t>
      </w:r>
      <w:r>
        <w:rPr>
          <w:rFonts w:ascii="Georgia" w:hAnsi="Georgia"/>
        </w:rPr>
        <w:t xml:space="preserve">, if any, </w:t>
      </w:r>
      <w:r w:rsidR="007635EF" w:rsidRPr="004E59FC">
        <w:rPr>
          <w:rFonts w:ascii="Georgia" w:hAnsi="Georgia"/>
        </w:rPr>
        <w:t xml:space="preserve"> must order and approve the provision of hospice care, be willing to sign or have a representative who is willing to sign the death </w:t>
      </w:r>
      <w:r w:rsidR="007669B2" w:rsidRPr="004E59FC">
        <w:rPr>
          <w:rFonts w:ascii="Georgia" w:hAnsi="Georgia"/>
        </w:rPr>
        <w:t>certificate and</w:t>
      </w:r>
      <w:r w:rsidR="007635EF" w:rsidRPr="004E59FC">
        <w:rPr>
          <w:rFonts w:ascii="Georgia" w:hAnsi="Georgia"/>
        </w:rPr>
        <w:t xml:space="preserve"> be willing to discuss the patient's resuscitation status with the patient and family/caregiver.</w:t>
      </w:r>
    </w:p>
    <w:p w14:paraId="62DA8E4E" w14:textId="6A8AF754"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 xml:space="preserve">The patient </w:t>
      </w:r>
      <w:r w:rsidR="002A02A9">
        <w:rPr>
          <w:rFonts w:ascii="Georgia" w:hAnsi="Georgia"/>
        </w:rPr>
        <w:t>should</w:t>
      </w:r>
      <w:r w:rsidRPr="004E59FC">
        <w:rPr>
          <w:rFonts w:ascii="Georgia" w:hAnsi="Georgia"/>
        </w:rPr>
        <w:t xml:space="preserve"> identify a family member/caregiver or legal representative who agrees to be a primary support care person when needed.  Persons without such an identified individual and who are independent in their activities of daily living (ADLs) will require a </w:t>
      </w:r>
      <w:r w:rsidRPr="00A169BF">
        <w:rPr>
          <w:rFonts w:ascii="Georgia" w:hAnsi="Georgia"/>
          <w:b/>
          <w:bCs/>
          <w:u w:val="single"/>
        </w:rPr>
        <w:t>specific plan</w:t>
      </w:r>
      <w:r w:rsidRPr="004E59FC">
        <w:rPr>
          <w:rFonts w:ascii="Georgia" w:hAnsi="Georgia"/>
        </w:rPr>
        <w:t xml:space="preserve"> to be developed </w:t>
      </w:r>
      <w:r w:rsidR="00976B3C">
        <w:rPr>
          <w:rFonts w:ascii="Georgia" w:hAnsi="Georgia"/>
        </w:rPr>
        <w:t>during the comprehensive assessment</w:t>
      </w:r>
      <w:r w:rsidR="00976B3C" w:rsidRPr="00976B3C">
        <w:rPr>
          <w:rFonts w:ascii="Georgia" w:hAnsi="Georgia"/>
        </w:rPr>
        <w:t xml:space="preserve"> </w:t>
      </w:r>
      <w:r w:rsidR="00976B3C" w:rsidRPr="004E59FC">
        <w:rPr>
          <w:rFonts w:ascii="Georgia" w:hAnsi="Georgia"/>
        </w:rPr>
        <w:t>with the social worker</w:t>
      </w:r>
      <w:r w:rsidRPr="004E59FC">
        <w:rPr>
          <w:rFonts w:ascii="Georgia" w:hAnsi="Georgia"/>
        </w:rPr>
        <w:t>.</w:t>
      </w:r>
    </w:p>
    <w:p w14:paraId="7592403E" w14:textId="469479ED"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The patient must have a life-limiting illness with a life expectancy of six (6) months or less, as determined by the attending physician</w:t>
      </w:r>
      <w:r w:rsidR="002A02A9">
        <w:rPr>
          <w:rFonts w:ascii="Georgia" w:hAnsi="Georgia"/>
        </w:rPr>
        <w:t>, if any,</w:t>
      </w:r>
      <w:r w:rsidRPr="004E59FC">
        <w:rPr>
          <w:rFonts w:ascii="Georgia" w:hAnsi="Georgia"/>
        </w:rPr>
        <w:t xml:space="preserve"> and Hospice Medical Director, utilizing standard clinical prognosis criteria developed by LCD.</w:t>
      </w:r>
      <w:r w:rsidR="009C4785">
        <w:rPr>
          <w:rFonts w:ascii="Georgia" w:hAnsi="Georgia"/>
        </w:rPr>
        <w:t xml:space="preserve"> This will be obtained at the time of the</w:t>
      </w:r>
      <w:r w:rsidR="00B520D1">
        <w:rPr>
          <w:rFonts w:ascii="Georgia" w:hAnsi="Georgia"/>
        </w:rPr>
        <w:t xml:space="preserve"> admission</w:t>
      </w:r>
      <w:r w:rsidR="009C4785">
        <w:rPr>
          <w:rFonts w:ascii="Georgia" w:hAnsi="Georgia"/>
        </w:rPr>
        <w:t xml:space="preserve">. </w:t>
      </w:r>
    </w:p>
    <w:p w14:paraId="06B778AC"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 xml:space="preserve">The patient must desire hospice services and be aware of the </w:t>
      </w:r>
      <w:r w:rsidR="00976B3C">
        <w:rPr>
          <w:rFonts w:ascii="Georgia" w:hAnsi="Georgia"/>
        </w:rPr>
        <w:t xml:space="preserve">terminal </w:t>
      </w:r>
      <w:r w:rsidRPr="004E59FC">
        <w:rPr>
          <w:rFonts w:ascii="Georgia" w:hAnsi="Georgia"/>
        </w:rPr>
        <w:t>diagnosis and prognosis.</w:t>
      </w:r>
    </w:p>
    <w:p w14:paraId="479D128F"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The focus of care desired must be palliative versus curative.</w:t>
      </w:r>
    </w:p>
    <w:p w14:paraId="6FDDDB00" w14:textId="77777777" w:rsidR="007669B2" w:rsidRDefault="007635EF" w:rsidP="007669B2">
      <w:pPr>
        <w:pStyle w:val="BodyTextIndent"/>
        <w:numPr>
          <w:ilvl w:val="0"/>
          <w:numId w:val="8"/>
        </w:numPr>
        <w:tabs>
          <w:tab w:val="clear" w:pos="720"/>
        </w:tabs>
        <w:ind w:left="432" w:hanging="432"/>
        <w:rPr>
          <w:rFonts w:ascii="Georgia" w:hAnsi="Georgia"/>
        </w:rPr>
      </w:pPr>
      <w:r w:rsidRPr="004E59FC">
        <w:rPr>
          <w:rFonts w:ascii="Georgia" w:hAnsi="Georgia"/>
        </w:rPr>
        <w:t>The patient and family/caregiver</w:t>
      </w:r>
      <w:r w:rsidR="007669B2">
        <w:rPr>
          <w:rFonts w:ascii="Georgia" w:hAnsi="Georgia"/>
        </w:rPr>
        <w:t xml:space="preserve"> must:</w:t>
      </w:r>
      <w:r w:rsidRPr="004E59FC">
        <w:rPr>
          <w:rFonts w:ascii="Georgia" w:hAnsi="Georgia"/>
        </w:rPr>
        <w:t xml:space="preserve"> </w:t>
      </w:r>
    </w:p>
    <w:p w14:paraId="2D279426" w14:textId="77777777" w:rsidR="007669B2" w:rsidRDefault="00DC57CA" w:rsidP="00D67953">
      <w:pPr>
        <w:pStyle w:val="BodyTextIndent"/>
        <w:numPr>
          <w:ilvl w:val="1"/>
          <w:numId w:val="8"/>
        </w:numPr>
        <w:tabs>
          <w:tab w:val="clear" w:pos="1560"/>
        </w:tabs>
        <w:ind w:left="1080" w:hanging="360"/>
        <w:rPr>
          <w:rFonts w:ascii="Georgia" w:hAnsi="Georgia"/>
        </w:rPr>
      </w:pPr>
      <w:r>
        <w:rPr>
          <w:rFonts w:ascii="Georgia" w:hAnsi="Georgia"/>
        </w:rPr>
        <w:t xml:space="preserve">Agree with </w:t>
      </w:r>
      <w:r w:rsidR="007635EF" w:rsidRPr="007669B2">
        <w:rPr>
          <w:rFonts w:ascii="Georgia" w:hAnsi="Georgia"/>
        </w:rPr>
        <w:t>hospice care</w:t>
      </w:r>
      <w:r>
        <w:rPr>
          <w:rFonts w:ascii="Georgia" w:hAnsi="Georgia"/>
        </w:rPr>
        <w:t xml:space="preserve"> once they understand their choices of care and expected outcomes</w:t>
      </w:r>
    </w:p>
    <w:p w14:paraId="626B471A" w14:textId="703F3145" w:rsidR="007669B2" w:rsidRDefault="002A02A9" w:rsidP="00D67953">
      <w:pPr>
        <w:pStyle w:val="BodyTextIndent"/>
        <w:numPr>
          <w:ilvl w:val="1"/>
          <w:numId w:val="8"/>
        </w:numPr>
        <w:tabs>
          <w:tab w:val="clear" w:pos="1560"/>
        </w:tabs>
        <w:ind w:left="1080" w:hanging="360"/>
        <w:rPr>
          <w:rFonts w:ascii="Georgia" w:hAnsi="Georgia"/>
        </w:rPr>
      </w:pPr>
      <w:r>
        <w:rPr>
          <w:rFonts w:ascii="Georgia" w:hAnsi="Georgia"/>
        </w:rPr>
        <w:t>A</w:t>
      </w:r>
      <w:r w:rsidR="007635EF" w:rsidRPr="007669B2">
        <w:rPr>
          <w:rFonts w:ascii="Georgia" w:hAnsi="Georgia"/>
        </w:rPr>
        <w:t xml:space="preserve">gree to participate in the plan of care </w:t>
      </w:r>
    </w:p>
    <w:p w14:paraId="48938D5B" w14:textId="43522984" w:rsidR="007669B2" w:rsidRDefault="002A02A9" w:rsidP="00D67953">
      <w:pPr>
        <w:pStyle w:val="BodyTextIndent"/>
        <w:numPr>
          <w:ilvl w:val="1"/>
          <w:numId w:val="8"/>
        </w:numPr>
        <w:tabs>
          <w:tab w:val="clear" w:pos="1560"/>
        </w:tabs>
        <w:ind w:left="1080" w:hanging="360"/>
        <w:rPr>
          <w:rFonts w:ascii="Georgia" w:hAnsi="Georgia"/>
        </w:rPr>
      </w:pPr>
      <w:r>
        <w:rPr>
          <w:rFonts w:ascii="Georgia" w:hAnsi="Georgia"/>
        </w:rPr>
        <w:t>S</w:t>
      </w:r>
      <w:r w:rsidR="007635EF" w:rsidRPr="007669B2">
        <w:rPr>
          <w:rFonts w:ascii="Georgia" w:hAnsi="Georgia"/>
        </w:rPr>
        <w:t xml:space="preserve">ign the </w:t>
      </w:r>
      <w:r w:rsidR="00B520D1">
        <w:rPr>
          <w:rFonts w:ascii="Georgia" w:hAnsi="Georgia"/>
        </w:rPr>
        <w:t>Notice of Admission Agreement</w:t>
      </w:r>
      <w:r w:rsidR="007635EF" w:rsidRPr="007669B2">
        <w:rPr>
          <w:rFonts w:ascii="Georgia" w:hAnsi="Georgia"/>
        </w:rPr>
        <w:t xml:space="preserve"> form for hospice care</w:t>
      </w:r>
      <w:r w:rsidR="00DC57CA">
        <w:rPr>
          <w:rFonts w:ascii="Georgia" w:hAnsi="Georgia"/>
        </w:rPr>
        <w:t xml:space="preserve"> after being </w:t>
      </w:r>
      <w:proofErr w:type="gramStart"/>
      <w:r w:rsidR="00DC57CA">
        <w:rPr>
          <w:rFonts w:ascii="Georgia" w:hAnsi="Georgia"/>
        </w:rPr>
        <w:t>given an explanation of</w:t>
      </w:r>
      <w:proofErr w:type="gramEnd"/>
      <w:r w:rsidR="00DC57CA">
        <w:rPr>
          <w:rFonts w:ascii="Georgia" w:hAnsi="Georgia"/>
        </w:rPr>
        <w:t xml:space="preserve"> informed consent</w:t>
      </w:r>
    </w:p>
    <w:p w14:paraId="5FA2BEE3" w14:textId="420F73C3" w:rsidR="007635EF" w:rsidRPr="007669B2" w:rsidRDefault="002A02A9" w:rsidP="00D67953">
      <w:pPr>
        <w:pStyle w:val="BodyTextIndent"/>
        <w:numPr>
          <w:ilvl w:val="1"/>
          <w:numId w:val="8"/>
        </w:numPr>
        <w:tabs>
          <w:tab w:val="clear" w:pos="1560"/>
        </w:tabs>
        <w:ind w:left="1080" w:hanging="360"/>
        <w:rPr>
          <w:rFonts w:ascii="Georgia" w:hAnsi="Georgia"/>
        </w:rPr>
      </w:pPr>
      <w:r>
        <w:rPr>
          <w:rFonts w:ascii="Georgia" w:hAnsi="Georgia"/>
        </w:rPr>
        <w:t>A</w:t>
      </w:r>
      <w:r w:rsidR="007635EF" w:rsidRPr="007669B2">
        <w:rPr>
          <w:rFonts w:ascii="Georgia" w:hAnsi="Georgia"/>
        </w:rPr>
        <w:t xml:space="preserve">gree that patient care will be provided primarily in the patient’s residence, which could be his/her private home, a family member’s home, a skilled nursing facility, or other living arrangements. </w:t>
      </w:r>
    </w:p>
    <w:p w14:paraId="0181FAB6"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The physical facilities and equipment in the patient's home must be adequate for safe and effective care.</w:t>
      </w:r>
    </w:p>
    <w:p w14:paraId="727BCF56"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The patient must reside within the geographical area that Ohio Living services.</w:t>
      </w:r>
    </w:p>
    <w:p w14:paraId="12CE116E"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Eligibility for participation will not be based on the patient's race, color, religion, age, gender, sexual orientation, disability (mental or physical), communicable disease, or place of national origin.</w:t>
      </w:r>
    </w:p>
    <w:p w14:paraId="067F594B"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If applicable, the patient must meet the eligibility criteria for Medicare, Medicaid, or private insurance hospice benefit reimbursement.</w:t>
      </w:r>
    </w:p>
    <w:p w14:paraId="5E914BCA" w14:textId="77777777" w:rsidR="007635EF" w:rsidRPr="004E59FC" w:rsidRDefault="007635EF" w:rsidP="007635EF">
      <w:pPr>
        <w:pStyle w:val="BodyTextIndent"/>
        <w:numPr>
          <w:ilvl w:val="0"/>
          <w:numId w:val="8"/>
        </w:numPr>
        <w:tabs>
          <w:tab w:val="clear" w:pos="720"/>
        </w:tabs>
        <w:ind w:left="432" w:hanging="432"/>
        <w:rPr>
          <w:rFonts w:ascii="Georgia" w:hAnsi="Georgia"/>
        </w:rPr>
      </w:pPr>
      <w:r w:rsidRPr="004E59FC">
        <w:rPr>
          <w:rFonts w:ascii="Georgia" w:hAnsi="Georgia"/>
        </w:rPr>
        <w:t>Eligibility criteria will be continually reviewed on an ongoing basis by the interdisciplinary team to assure appropriateness of hospice care.</w:t>
      </w:r>
    </w:p>
    <w:p w14:paraId="07157168" w14:textId="77777777" w:rsidR="007635EF" w:rsidRDefault="007635EF" w:rsidP="00D927EC">
      <w:pPr>
        <w:pStyle w:val="Heading3"/>
        <w:rPr>
          <w:rFonts w:ascii="Avenir" w:hAnsi="Avenir"/>
          <w:sz w:val="22"/>
        </w:rPr>
      </w:pPr>
    </w:p>
    <w:p w14:paraId="5CAC6145" w14:textId="77777777" w:rsidR="00D927EC" w:rsidRDefault="00D927EC" w:rsidP="00F74405">
      <w:pPr>
        <w:pStyle w:val="Heading3"/>
        <w:spacing w:line="360" w:lineRule="auto"/>
        <w:rPr>
          <w:rFonts w:ascii="Avenir" w:hAnsi="Avenir"/>
          <w:sz w:val="22"/>
        </w:rPr>
      </w:pPr>
      <w:r w:rsidRPr="005F4D1B">
        <w:rPr>
          <w:rFonts w:ascii="Avenir" w:hAnsi="Avenir"/>
          <w:sz w:val="22"/>
        </w:rPr>
        <w:t>P</w:t>
      </w:r>
      <w:r>
        <w:rPr>
          <w:rFonts w:ascii="Avenir" w:hAnsi="Avenir"/>
          <w:sz w:val="22"/>
        </w:rPr>
        <w:t>RocEDURE</w:t>
      </w:r>
    </w:p>
    <w:p w14:paraId="5C1C80A3" w14:textId="77777777" w:rsidR="007669B2" w:rsidRPr="004E59FC" w:rsidRDefault="007669B2" w:rsidP="007669B2">
      <w:pPr>
        <w:pStyle w:val="BodyTextIndent"/>
        <w:numPr>
          <w:ilvl w:val="0"/>
          <w:numId w:val="14"/>
        </w:numPr>
        <w:rPr>
          <w:rFonts w:ascii="Georgia" w:hAnsi="Georgia"/>
        </w:rPr>
      </w:pPr>
      <w:r>
        <w:rPr>
          <w:rFonts w:ascii="Georgia" w:hAnsi="Georgia"/>
        </w:rPr>
        <w:t xml:space="preserve">Ohio Living </w:t>
      </w:r>
      <w:r w:rsidRPr="004E59FC">
        <w:rPr>
          <w:rFonts w:ascii="Georgia" w:hAnsi="Georgia"/>
        </w:rPr>
        <w:t>will utilize referral information provided by family/caregiver, health care clinicians from acute care facilities, skilled or intermediate nursing facilities, other agencies, and physician offices in the determination of eligibility for admission to the program.  If the request for service is not made by the patient's physician, he/she will be consulted prior to the evaluation visit/initiation of services.</w:t>
      </w:r>
    </w:p>
    <w:p w14:paraId="4C7FCE9F" w14:textId="65D8CC44" w:rsidR="00D67953" w:rsidRDefault="00D67953" w:rsidP="00D67953">
      <w:pPr>
        <w:pStyle w:val="BodyTextIndent"/>
        <w:numPr>
          <w:ilvl w:val="0"/>
          <w:numId w:val="16"/>
        </w:numPr>
        <w:rPr>
          <w:rFonts w:ascii="Georgia" w:hAnsi="Georgia"/>
        </w:rPr>
      </w:pPr>
      <w:r>
        <w:rPr>
          <w:rFonts w:ascii="Georgia" w:hAnsi="Georgia"/>
        </w:rPr>
        <w:t>H</w:t>
      </w:r>
      <w:r w:rsidRPr="004E59FC">
        <w:rPr>
          <w:rFonts w:ascii="Georgia" w:hAnsi="Georgia"/>
        </w:rPr>
        <w:t xml:space="preserve">ospice personnel </w:t>
      </w:r>
      <w:r>
        <w:rPr>
          <w:rFonts w:ascii="Georgia" w:hAnsi="Georgia"/>
        </w:rPr>
        <w:t>will</w:t>
      </w:r>
      <w:r w:rsidRPr="004E59FC">
        <w:rPr>
          <w:rFonts w:ascii="Georgia" w:hAnsi="Georgia"/>
        </w:rPr>
        <w:t xml:space="preserve"> conduct initial assessments </w:t>
      </w:r>
      <w:r w:rsidR="008E51E0">
        <w:rPr>
          <w:rFonts w:ascii="Georgia" w:hAnsi="Georgia"/>
        </w:rPr>
        <w:t>for</w:t>
      </w:r>
      <w:r w:rsidRPr="004E59FC">
        <w:rPr>
          <w:rFonts w:ascii="Georgia" w:hAnsi="Georgia"/>
        </w:rPr>
        <w:t xml:space="preserve"> eligibility for services within the time frame requested by the referral source or based on the information regarding the patient's condition or as ordered by the physician.</w:t>
      </w:r>
    </w:p>
    <w:p w14:paraId="5E2688B2" w14:textId="77777777" w:rsidR="00D67953" w:rsidRDefault="00D67953" w:rsidP="00D67953">
      <w:pPr>
        <w:pStyle w:val="BodyTextIndent"/>
        <w:numPr>
          <w:ilvl w:val="0"/>
          <w:numId w:val="16"/>
        </w:numPr>
        <w:rPr>
          <w:rFonts w:ascii="Georgia" w:hAnsi="Georgia"/>
        </w:rPr>
      </w:pPr>
      <w:r w:rsidRPr="004E59FC">
        <w:rPr>
          <w:rFonts w:ascii="Georgia" w:hAnsi="Georgia"/>
        </w:rPr>
        <w:t xml:space="preserve">If the time frame for </w:t>
      </w:r>
      <w:r>
        <w:rPr>
          <w:rFonts w:ascii="Georgia" w:hAnsi="Georgia"/>
        </w:rPr>
        <w:t xml:space="preserve">the </w:t>
      </w:r>
      <w:r w:rsidRPr="004E59FC">
        <w:rPr>
          <w:rFonts w:ascii="Georgia" w:hAnsi="Georgia"/>
        </w:rPr>
        <w:t>assessment cannot be met, the patient's physician and the referral</w:t>
      </w:r>
      <w:r>
        <w:rPr>
          <w:rFonts w:ascii="Georgia" w:hAnsi="Georgia"/>
        </w:rPr>
        <w:t xml:space="preserve"> </w:t>
      </w:r>
      <w:r w:rsidRPr="004E59FC">
        <w:rPr>
          <w:rFonts w:ascii="Georgia" w:hAnsi="Georgia"/>
        </w:rPr>
        <w:t>source, as well as the patient, will be notified for approval of the delay.</w:t>
      </w:r>
    </w:p>
    <w:p w14:paraId="0756F3D4" w14:textId="77777777" w:rsidR="00D67953" w:rsidRDefault="00D67953" w:rsidP="00D67953">
      <w:pPr>
        <w:pStyle w:val="BodyTextIndent"/>
        <w:numPr>
          <w:ilvl w:val="1"/>
          <w:numId w:val="16"/>
        </w:numPr>
        <w:rPr>
          <w:rFonts w:ascii="Georgia" w:hAnsi="Georgia"/>
        </w:rPr>
      </w:pPr>
      <w:r w:rsidRPr="007669B2">
        <w:rPr>
          <w:rFonts w:ascii="Georgia" w:hAnsi="Georgia"/>
        </w:rPr>
        <w:t>Such notification and approval will be documented.</w:t>
      </w:r>
    </w:p>
    <w:p w14:paraId="2DD4B35B" w14:textId="77777777" w:rsidR="00D67953" w:rsidRDefault="00D67953" w:rsidP="00D67953">
      <w:pPr>
        <w:pStyle w:val="BodyTextIndent"/>
        <w:numPr>
          <w:ilvl w:val="1"/>
          <w:numId w:val="16"/>
        </w:numPr>
        <w:rPr>
          <w:rFonts w:ascii="Georgia" w:hAnsi="Georgia"/>
        </w:rPr>
      </w:pPr>
      <w:r w:rsidRPr="007669B2">
        <w:rPr>
          <w:rFonts w:ascii="Georgia" w:hAnsi="Georgia"/>
        </w:rPr>
        <w:t>If approval is not obtained for the delay, the patient will be referred to another hospice for services.</w:t>
      </w:r>
    </w:p>
    <w:p w14:paraId="53F16B65" w14:textId="77777777" w:rsidR="00D67953" w:rsidRDefault="00D67953" w:rsidP="007669B2">
      <w:pPr>
        <w:pStyle w:val="BodyTextIndent"/>
        <w:ind w:left="360" w:firstLine="0"/>
        <w:rPr>
          <w:rFonts w:ascii="Georgia" w:hAnsi="Georgia"/>
        </w:rPr>
        <w:sectPr w:rsidR="00D67953" w:rsidSect="00500DCD">
          <w:headerReference w:type="default" r:id="rId8"/>
          <w:footerReference w:type="even" r:id="rId9"/>
          <w:footerReference w:type="default" r:id="rId10"/>
          <w:pgSz w:w="12240" w:h="15840"/>
          <w:pgMar w:top="1440" w:right="1440" w:bottom="1440" w:left="1440" w:header="720" w:footer="720" w:gutter="0"/>
          <w:cols w:space="720"/>
          <w:docGrid w:linePitch="360"/>
        </w:sectPr>
      </w:pPr>
    </w:p>
    <w:p w14:paraId="71080CEF" w14:textId="77777777" w:rsidR="00A458AC" w:rsidRDefault="007669B2" w:rsidP="00A458AC">
      <w:pPr>
        <w:pStyle w:val="BodyTextIndent"/>
        <w:numPr>
          <w:ilvl w:val="0"/>
          <w:numId w:val="16"/>
        </w:numPr>
        <w:rPr>
          <w:rFonts w:ascii="Georgia" w:hAnsi="Georgia"/>
        </w:rPr>
      </w:pPr>
      <w:r w:rsidRPr="004E59FC">
        <w:rPr>
          <w:rFonts w:ascii="Georgia" w:hAnsi="Georgia"/>
        </w:rPr>
        <w:lastRenderedPageBreak/>
        <w:t xml:space="preserve">A hospice </w:t>
      </w:r>
      <w:r w:rsidR="00976B3C">
        <w:rPr>
          <w:rFonts w:ascii="Georgia" w:hAnsi="Georgia"/>
        </w:rPr>
        <w:t xml:space="preserve">team member </w:t>
      </w:r>
      <w:r w:rsidRPr="004E59FC">
        <w:rPr>
          <w:rFonts w:ascii="Georgia" w:hAnsi="Georgia"/>
        </w:rPr>
        <w:t>will make an initial contact prior to the patient's hospital discharge, if possible or appropriate.  The initial home visit will be made within the time frame requested by the referral source and according to organization policy, or as ordered by the physician</w:t>
      </w:r>
      <w:r w:rsidR="00A458AC">
        <w:rPr>
          <w:rFonts w:ascii="Georgia" w:hAnsi="Georgia"/>
        </w:rPr>
        <w:t xml:space="preserve">. </w:t>
      </w:r>
      <w:r w:rsidRPr="004E59FC">
        <w:rPr>
          <w:rFonts w:ascii="Georgia" w:hAnsi="Georgia"/>
        </w:rPr>
        <w:t xml:space="preserve">The purpose of the initial visit </w:t>
      </w:r>
      <w:r w:rsidR="00A458AC">
        <w:rPr>
          <w:rFonts w:ascii="Georgia" w:hAnsi="Georgia"/>
        </w:rPr>
        <w:t>is</w:t>
      </w:r>
      <w:r w:rsidRPr="004E59FC">
        <w:rPr>
          <w:rFonts w:ascii="Georgia" w:hAnsi="Georgia"/>
        </w:rPr>
        <w:t xml:space="preserve"> to:</w:t>
      </w:r>
    </w:p>
    <w:p w14:paraId="5CE52D8D" w14:textId="77777777" w:rsidR="00A458AC" w:rsidRDefault="007669B2" w:rsidP="00A458AC">
      <w:pPr>
        <w:pStyle w:val="BodyTextIndent"/>
        <w:numPr>
          <w:ilvl w:val="1"/>
          <w:numId w:val="16"/>
        </w:numPr>
        <w:rPr>
          <w:rFonts w:ascii="Georgia" w:hAnsi="Georgia"/>
        </w:rPr>
      </w:pPr>
      <w:r w:rsidRPr="00A458AC">
        <w:rPr>
          <w:rFonts w:ascii="Georgia" w:hAnsi="Georgia"/>
        </w:rPr>
        <w:t>Explain the hospice philosophy of palliative care with the patient and family/caregiver as unit of care.</w:t>
      </w:r>
    </w:p>
    <w:p w14:paraId="5F115675" w14:textId="77777777" w:rsidR="00A458AC" w:rsidRDefault="007669B2" w:rsidP="00A458AC">
      <w:pPr>
        <w:pStyle w:val="BodyTextIndent"/>
        <w:numPr>
          <w:ilvl w:val="1"/>
          <w:numId w:val="16"/>
        </w:numPr>
        <w:rPr>
          <w:rFonts w:ascii="Georgia" w:hAnsi="Georgia"/>
        </w:rPr>
      </w:pPr>
      <w:r w:rsidRPr="00A458AC">
        <w:rPr>
          <w:rFonts w:ascii="Georgia" w:hAnsi="Georgia"/>
        </w:rPr>
        <w:t>Explain the patient's rights and responsibilities and grievance procedure</w:t>
      </w:r>
      <w:r w:rsidR="00A458AC" w:rsidRPr="00A458AC">
        <w:rPr>
          <w:rFonts w:ascii="Georgia" w:hAnsi="Georgia"/>
        </w:rPr>
        <w:t>.</w:t>
      </w:r>
    </w:p>
    <w:p w14:paraId="372EB759" w14:textId="77777777" w:rsidR="00A458AC" w:rsidRDefault="007669B2" w:rsidP="00A458AC">
      <w:pPr>
        <w:pStyle w:val="BodyTextIndent"/>
        <w:numPr>
          <w:ilvl w:val="1"/>
          <w:numId w:val="16"/>
        </w:numPr>
        <w:rPr>
          <w:rFonts w:ascii="Georgia" w:hAnsi="Georgia"/>
        </w:rPr>
      </w:pPr>
      <w:r w:rsidRPr="00A458AC">
        <w:rPr>
          <w:rFonts w:ascii="Georgia" w:hAnsi="Georgia"/>
        </w:rPr>
        <w:t>Provide the patient with a copy of Ohio Living notice of privacy practices.</w:t>
      </w:r>
    </w:p>
    <w:p w14:paraId="163C99F1" w14:textId="77777777" w:rsidR="00A458AC" w:rsidRDefault="007669B2" w:rsidP="00A458AC">
      <w:pPr>
        <w:pStyle w:val="BodyTextIndent"/>
        <w:numPr>
          <w:ilvl w:val="1"/>
          <w:numId w:val="16"/>
        </w:numPr>
        <w:rPr>
          <w:rFonts w:ascii="Georgia" w:hAnsi="Georgia"/>
        </w:rPr>
      </w:pPr>
      <w:r w:rsidRPr="00A458AC">
        <w:rPr>
          <w:rFonts w:ascii="Georgia" w:hAnsi="Georgia"/>
        </w:rPr>
        <w:t>Assess the family/caregiver’s ability to provide care.</w:t>
      </w:r>
    </w:p>
    <w:p w14:paraId="2DEA6667" w14:textId="77777777" w:rsidR="00A458AC" w:rsidRDefault="007669B2" w:rsidP="00A458AC">
      <w:pPr>
        <w:pStyle w:val="BodyTextIndent"/>
        <w:numPr>
          <w:ilvl w:val="1"/>
          <w:numId w:val="16"/>
        </w:numPr>
        <w:rPr>
          <w:rFonts w:ascii="Georgia" w:hAnsi="Georgia"/>
        </w:rPr>
      </w:pPr>
      <w:r w:rsidRPr="00A458AC">
        <w:rPr>
          <w:rFonts w:ascii="Georgia" w:hAnsi="Georgia"/>
        </w:rPr>
        <w:t>Evaluate physical facilities and equipment in the patient's home to determine if they are safe and effective for care in the home.</w:t>
      </w:r>
    </w:p>
    <w:p w14:paraId="14674B92" w14:textId="77777777" w:rsidR="00A458AC" w:rsidRDefault="007669B2" w:rsidP="00A458AC">
      <w:pPr>
        <w:pStyle w:val="BodyTextIndent"/>
        <w:numPr>
          <w:ilvl w:val="1"/>
          <w:numId w:val="16"/>
        </w:numPr>
        <w:rPr>
          <w:rFonts w:ascii="Georgia" w:hAnsi="Georgia"/>
        </w:rPr>
      </w:pPr>
      <w:r w:rsidRPr="00A458AC">
        <w:rPr>
          <w:rFonts w:ascii="Georgia" w:hAnsi="Georgia"/>
        </w:rPr>
        <w:t>Allow the patient and family/caregiver to ask questions and facilitate a decision for hospice services especially provided under the Medicare/Medicaid hospice benefit.</w:t>
      </w:r>
    </w:p>
    <w:p w14:paraId="59CAE4D2" w14:textId="77777777" w:rsidR="00A458AC" w:rsidRDefault="007669B2" w:rsidP="00A458AC">
      <w:pPr>
        <w:pStyle w:val="BodyTextIndent"/>
        <w:numPr>
          <w:ilvl w:val="1"/>
          <w:numId w:val="16"/>
        </w:numPr>
        <w:rPr>
          <w:rFonts w:ascii="Georgia" w:hAnsi="Georgia"/>
        </w:rPr>
      </w:pPr>
      <w:r w:rsidRPr="00A458AC">
        <w:rPr>
          <w:rFonts w:ascii="Georgia" w:hAnsi="Georgia"/>
        </w:rPr>
        <w:t>Review appropriate forms and subsequently sign forms by patient and family/caregiver once agreement for the hospice program has been decided.</w:t>
      </w:r>
    </w:p>
    <w:p w14:paraId="57B942C0" w14:textId="77777777" w:rsidR="00A458AC" w:rsidRDefault="007669B2" w:rsidP="00A458AC">
      <w:pPr>
        <w:pStyle w:val="BodyTextIndent"/>
        <w:numPr>
          <w:ilvl w:val="1"/>
          <w:numId w:val="16"/>
        </w:numPr>
        <w:rPr>
          <w:rFonts w:ascii="Georgia" w:hAnsi="Georgia"/>
        </w:rPr>
      </w:pPr>
      <w:r w:rsidRPr="00A458AC">
        <w:rPr>
          <w:rFonts w:ascii="Georgia" w:hAnsi="Georgia"/>
        </w:rPr>
        <w:t>Provide services as needed and ordered by physician and incorporate additional needs into the hospice plan of care.</w:t>
      </w:r>
    </w:p>
    <w:p w14:paraId="7942A041" w14:textId="77777777" w:rsidR="007669B2" w:rsidRPr="00A458AC" w:rsidRDefault="00E2345C" w:rsidP="00A458AC">
      <w:pPr>
        <w:pStyle w:val="BodyTextIndent"/>
        <w:numPr>
          <w:ilvl w:val="1"/>
          <w:numId w:val="16"/>
        </w:numPr>
        <w:rPr>
          <w:rFonts w:ascii="Georgia" w:hAnsi="Georgia"/>
        </w:rPr>
      </w:pPr>
      <w:r>
        <w:rPr>
          <w:rFonts w:ascii="Georgia" w:hAnsi="Georgia"/>
        </w:rPr>
        <w:t xml:space="preserve">Provide the </w:t>
      </w:r>
      <w:r w:rsidR="007669B2" w:rsidRPr="00A458AC">
        <w:rPr>
          <w:rFonts w:ascii="Georgia" w:hAnsi="Georgia"/>
        </w:rPr>
        <w:t xml:space="preserve">patient information about </w:t>
      </w:r>
      <w:r>
        <w:rPr>
          <w:rFonts w:ascii="Georgia" w:hAnsi="Georgia"/>
        </w:rPr>
        <w:t xml:space="preserve">Advanced Directives </w:t>
      </w:r>
    </w:p>
    <w:p w14:paraId="0C0ADC05" w14:textId="77777777" w:rsidR="00A458AC" w:rsidRDefault="007669B2" w:rsidP="00A458AC">
      <w:pPr>
        <w:pStyle w:val="BodyTextIndent"/>
        <w:numPr>
          <w:ilvl w:val="0"/>
          <w:numId w:val="16"/>
        </w:numPr>
        <w:rPr>
          <w:rFonts w:ascii="Georgia" w:hAnsi="Georgia"/>
        </w:rPr>
      </w:pPr>
      <w:r w:rsidRPr="004E59FC">
        <w:rPr>
          <w:rFonts w:ascii="Georgia" w:hAnsi="Georgia"/>
        </w:rPr>
        <w:t>During the initial assessment visit, the admitting clinician will assess the patient's eligibility for hospice services according to the admission criteria and standard prognosis criteria to determine/confirm further:</w:t>
      </w:r>
    </w:p>
    <w:p w14:paraId="17A76FC7" w14:textId="77777777" w:rsidR="00A458AC" w:rsidRDefault="007669B2" w:rsidP="00A458AC">
      <w:pPr>
        <w:pStyle w:val="BodyTextIndent"/>
        <w:numPr>
          <w:ilvl w:val="1"/>
          <w:numId w:val="16"/>
        </w:numPr>
        <w:rPr>
          <w:rFonts w:ascii="Georgia" w:hAnsi="Georgia"/>
        </w:rPr>
      </w:pPr>
      <w:r w:rsidRPr="00A458AC">
        <w:rPr>
          <w:rFonts w:ascii="Georgia" w:hAnsi="Georgia"/>
        </w:rPr>
        <w:t>Level of services required and frequency criteria</w:t>
      </w:r>
    </w:p>
    <w:p w14:paraId="0D77F578" w14:textId="77777777" w:rsidR="00A458AC" w:rsidRDefault="007669B2" w:rsidP="00A458AC">
      <w:pPr>
        <w:pStyle w:val="BodyTextIndent"/>
        <w:numPr>
          <w:ilvl w:val="1"/>
          <w:numId w:val="16"/>
        </w:numPr>
        <w:rPr>
          <w:rFonts w:ascii="Georgia" w:hAnsi="Georgia"/>
        </w:rPr>
      </w:pPr>
      <w:r w:rsidRPr="00A458AC">
        <w:rPr>
          <w:rFonts w:ascii="Georgia" w:hAnsi="Georgia"/>
        </w:rPr>
        <w:t>Eligibility (according to organization admission criteria)</w:t>
      </w:r>
    </w:p>
    <w:p w14:paraId="4E10BDB5" w14:textId="77777777" w:rsidR="007669B2" w:rsidRPr="00A458AC" w:rsidRDefault="007669B2" w:rsidP="00A458AC">
      <w:pPr>
        <w:pStyle w:val="BodyTextIndent"/>
        <w:numPr>
          <w:ilvl w:val="1"/>
          <w:numId w:val="16"/>
        </w:numPr>
        <w:rPr>
          <w:rFonts w:ascii="Georgia" w:hAnsi="Georgia"/>
        </w:rPr>
      </w:pPr>
      <w:r w:rsidRPr="00A458AC">
        <w:rPr>
          <w:rFonts w:ascii="Georgia" w:hAnsi="Georgia"/>
        </w:rPr>
        <w:t>Source of payment</w:t>
      </w:r>
    </w:p>
    <w:p w14:paraId="734A9CAC" w14:textId="018757B5" w:rsidR="00A458AC" w:rsidRDefault="007669B2" w:rsidP="00A458AC">
      <w:pPr>
        <w:pStyle w:val="BodyTextIndent"/>
        <w:numPr>
          <w:ilvl w:val="0"/>
          <w:numId w:val="16"/>
        </w:numPr>
        <w:rPr>
          <w:rFonts w:ascii="Georgia" w:hAnsi="Georgia"/>
        </w:rPr>
      </w:pPr>
      <w:r w:rsidRPr="004E59FC">
        <w:rPr>
          <w:rFonts w:ascii="Georgia" w:hAnsi="Georgia"/>
        </w:rPr>
        <w:t xml:space="preserve">If eligibility criteria </w:t>
      </w:r>
      <w:proofErr w:type="gramStart"/>
      <w:r w:rsidRPr="004E59FC">
        <w:rPr>
          <w:rFonts w:ascii="Georgia" w:hAnsi="Georgia"/>
        </w:rPr>
        <w:t>is</w:t>
      </w:r>
      <w:proofErr w:type="gramEnd"/>
      <w:r w:rsidRPr="004E59FC">
        <w:rPr>
          <w:rFonts w:ascii="Georgia" w:hAnsi="Georgia"/>
        </w:rPr>
        <w:t xml:space="preserve"> met</w:t>
      </w:r>
      <w:r w:rsidR="00030D7F">
        <w:rPr>
          <w:rFonts w:ascii="Georgia" w:hAnsi="Georgia"/>
        </w:rPr>
        <w:t>,</w:t>
      </w:r>
      <w:r w:rsidRPr="004E59FC">
        <w:rPr>
          <w:rFonts w:ascii="Georgia" w:hAnsi="Georgia"/>
        </w:rPr>
        <w:t xml:space="preserve"> the patient and family/caregiver will be provided with a hospice </w:t>
      </w:r>
      <w:r w:rsidR="008E51E0">
        <w:rPr>
          <w:rFonts w:ascii="Georgia" w:hAnsi="Georgia"/>
        </w:rPr>
        <w:t>handbook</w:t>
      </w:r>
      <w:r w:rsidRPr="004E59FC">
        <w:rPr>
          <w:rFonts w:ascii="Georgia" w:hAnsi="Georgia"/>
        </w:rPr>
        <w:t xml:space="preserve"> and various educational materials providing sufficient information on:</w:t>
      </w:r>
    </w:p>
    <w:p w14:paraId="10695D1C" w14:textId="77777777" w:rsidR="00A458AC" w:rsidRDefault="007669B2" w:rsidP="00A458AC">
      <w:pPr>
        <w:pStyle w:val="BodyTextIndent"/>
        <w:numPr>
          <w:ilvl w:val="1"/>
          <w:numId w:val="16"/>
        </w:numPr>
        <w:rPr>
          <w:rFonts w:ascii="Georgia" w:hAnsi="Georgia"/>
        </w:rPr>
      </w:pPr>
      <w:r w:rsidRPr="00A458AC">
        <w:rPr>
          <w:rFonts w:ascii="Georgia" w:hAnsi="Georgia"/>
        </w:rPr>
        <w:t>Nature and goals of care and/or service</w:t>
      </w:r>
    </w:p>
    <w:p w14:paraId="3525C0EE" w14:textId="77777777" w:rsidR="00A458AC" w:rsidRDefault="007669B2" w:rsidP="00A458AC">
      <w:pPr>
        <w:pStyle w:val="BodyTextIndent"/>
        <w:numPr>
          <w:ilvl w:val="1"/>
          <w:numId w:val="16"/>
        </w:numPr>
        <w:rPr>
          <w:rFonts w:ascii="Georgia" w:hAnsi="Georgia"/>
        </w:rPr>
      </w:pPr>
      <w:r w:rsidRPr="00A458AC">
        <w:rPr>
          <w:rFonts w:ascii="Georgia" w:hAnsi="Georgia"/>
        </w:rPr>
        <w:t xml:space="preserve">Hours during which </w:t>
      </w:r>
      <w:r w:rsidR="00A458AC" w:rsidRPr="00A458AC">
        <w:rPr>
          <w:rFonts w:ascii="Georgia" w:hAnsi="Georgia"/>
        </w:rPr>
        <w:t>care,</w:t>
      </w:r>
      <w:r w:rsidRPr="00A458AC">
        <w:rPr>
          <w:rFonts w:ascii="Georgia" w:hAnsi="Georgia"/>
        </w:rPr>
        <w:t xml:space="preserve"> or service are available</w:t>
      </w:r>
      <w:r w:rsidR="00A458AC" w:rsidRPr="00A458AC">
        <w:rPr>
          <w:rFonts w:ascii="Georgia" w:hAnsi="Georgia"/>
        </w:rPr>
        <w:t>.</w:t>
      </w:r>
    </w:p>
    <w:p w14:paraId="0467486D" w14:textId="77777777" w:rsidR="00A458AC" w:rsidRDefault="007669B2" w:rsidP="00A458AC">
      <w:pPr>
        <w:pStyle w:val="BodyTextIndent"/>
        <w:numPr>
          <w:ilvl w:val="1"/>
          <w:numId w:val="16"/>
        </w:numPr>
        <w:rPr>
          <w:rFonts w:ascii="Georgia" w:hAnsi="Georgia"/>
        </w:rPr>
      </w:pPr>
      <w:r w:rsidRPr="00A458AC">
        <w:rPr>
          <w:rFonts w:ascii="Georgia" w:hAnsi="Georgia"/>
        </w:rPr>
        <w:t>Access to care after hours</w:t>
      </w:r>
    </w:p>
    <w:p w14:paraId="09522889" w14:textId="77777777" w:rsidR="00A458AC" w:rsidRDefault="007669B2" w:rsidP="00A458AC">
      <w:pPr>
        <w:pStyle w:val="BodyTextIndent"/>
        <w:numPr>
          <w:ilvl w:val="1"/>
          <w:numId w:val="16"/>
        </w:numPr>
        <w:rPr>
          <w:rFonts w:ascii="Georgia" w:hAnsi="Georgia"/>
        </w:rPr>
      </w:pPr>
      <w:r w:rsidRPr="00A458AC">
        <w:rPr>
          <w:rFonts w:ascii="Georgia" w:hAnsi="Georgia"/>
        </w:rPr>
        <w:t>Costs to be borne by the patient, if any</w:t>
      </w:r>
      <w:r w:rsidR="00A458AC">
        <w:rPr>
          <w:rFonts w:ascii="Georgia" w:hAnsi="Georgia"/>
        </w:rPr>
        <w:t>.</w:t>
      </w:r>
    </w:p>
    <w:p w14:paraId="2FE9C652" w14:textId="77777777" w:rsidR="00A458AC" w:rsidRDefault="007669B2" w:rsidP="00A458AC">
      <w:pPr>
        <w:pStyle w:val="BodyTextIndent"/>
        <w:numPr>
          <w:ilvl w:val="1"/>
          <w:numId w:val="16"/>
        </w:numPr>
        <w:rPr>
          <w:rFonts w:ascii="Georgia" w:hAnsi="Georgia"/>
        </w:rPr>
      </w:pPr>
      <w:r w:rsidRPr="00A458AC">
        <w:rPr>
          <w:rFonts w:ascii="Georgia" w:hAnsi="Georgia"/>
        </w:rPr>
        <w:t>Hospice mission, objectives, and scope of care provided directly and those provided through contractual agreement</w:t>
      </w:r>
    </w:p>
    <w:p w14:paraId="3669F442" w14:textId="77777777" w:rsidR="00A458AC" w:rsidRDefault="007669B2" w:rsidP="00A458AC">
      <w:pPr>
        <w:pStyle w:val="BodyTextIndent"/>
        <w:numPr>
          <w:ilvl w:val="1"/>
          <w:numId w:val="16"/>
        </w:numPr>
        <w:rPr>
          <w:rFonts w:ascii="Georgia" w:hAnsi="Georgia"/>
        </w:rPr>
      </w:pPr>
      <w:r w:rsidRPr="00A458AC">
        <w:rPr>
          <w:rFonts w:ascii="Georgia" w:hAnsi="Georgia"/>
        </w:rPr>
        <w:t>Safety information</w:t>
      </w:r>
    </w:p>
    <w:p w14:paraId="19CC51DC" w14:textId="77777777" w:rsidR="00A458AC" w:rsidRDefault="007669B2" w:rsidP="00A458AC">
      <w:pPr>
        <w:pStyle w:val="BodyTextIndent"/>
        <w:numPr>
          <w:ilvl w:val="1"/>
          <w:numId w:val="16"/>
        </w:numPr>
        <w:rPr>
          <w:rFonts w:ascii="Georgia" w:hAnsi="Georgia"/>
        </w:rPr>
      </w:pPr>
      <w:r w:rsidRPr="00A458AC">
        <w:rPr>
          <w:rFonts w:ascii="Georgia" w:hAnsi="Georgia"/>
        </w:rPr>
        <w:t>Infection control information</w:t>
      </w:r>
    </w:p>
    <w:p w14:paraId="4E6D1C25" w14:textId="77777777" w:rsidR="00A458AC" w:rsidRDefault="007669B2" w:rsidP="00A458AC">
      <w:pPr>
        <w:pStyle w:val="BodyTextIndent"/>
        <w:numPr>
          <w:ilvl w:val="1"/>
          <w:numId w:val="16"/>
        </w:numPr>
        <w:rPr>
          <w:rFonts w:ascii="Georgia" w:hAnsi="Georgia"/>
        </w:rPr>
      </w:pPr>
      <w:r w:rsidRPr="00A458AC">
        <w:rPr>
          <w:rFonts w:ascii="Georgia" w:hAnsi="Georgia"/>
        </w:rPr>
        <w:t>Emergency preparedness plans</w:t>
      </w:r>
    </w:p>
    <w:p w14:paraId="4ADD8C43" w14:textId="77777777" w:rsidR="00A458AC" w:rsidRDefault="007669B2" w:rsidP="00A458AC">
      <w:pPr>
        <w:pStyle w:val="BodyTextIndent"/>
        <w:numPr>
          <w:ilvl w:val="1"/>
          <w:numId w:val="16"/>
        </w:numPr>
        <w:rPr>
          <w:rFonts w:ascii="Georgia" w:hAnsi="Georgia"/>
        </w:rPr>
      </w:pPr>
      <w:r w:rsidRPr="00A458AC">
        <w:rPr>
          <w:rFonts w:ascii="Georgia" w:hAnsi="Georgia"/>
        </w:rPr>
        <w:t>Available community resources</w:t>
      </w:r>
    </w:p>
    <w:p w14:paraId="305AB17F" w14:textId="77777777" w:rsidR="00A458AC" w:rsidRDefault="007669B2" w:rsidP="00A458AC">
      <w:pPr>
        <w:pStyle w:val="BodyTextIndent"/>
        <w:numPr>
          <w:ilvl w:val="1"/>
          <w:numId w:val="16"/>
        </w:numPr>
        <w:rPr>
          <w:rFonts w:ascii="Georgia" w:hAnsi="Georgia"/>
        </w:rPr>
      </w:pPr>
      <w:r w:rsidRPr="00A458AC">
        <w:rPr>
          <w:rFonts w:ascii="Georgia" w:hAnsi="Georgia"/>
        </w:rPr>
        <w:t>Complaint/grievance process</w:t>
      </w:r>
    </w:p>
    <w:p w14:paraId="22580FBC" w14:textId="77777777" w:rsidR="00A458AC" w:rsidRDefault="007669B2" w:rsidP="00A458AC">
      <w:pPr>
        <w:pStyle w:val="BodyTextIndent"/>
        <w:numPr>
          <w:ilvl w:val="1"/>
          <w:numId w:val="16"/>
        </w:numPr>
        <w:rPr>
          <w:rFonts w:ascii="Georgia" w:hAnsi="Georgia"/>
        </w:rPr>
      </w:pPr>
      <w:r w:rsidRPr="00A458AC">
        <w:rPr>
          <w:rFonts w:ascii="Georgia" w:hAnsi="Georgia"/>
        </w:rPr>
        <w:t>Advance Directives</w:t>
      </w:r>
    </w:p>
    <w:p w14:paraId="2760546C" w14:textId="77777777" w:rsidR="00A458AC" w:rsidRDefault="007669B2" w:rsidP="00A458AC">
      <w:pPr>
        <w:pStyle w:val="BodyTextIndent"/>
        <w:numPr>
          <w:ilvl w:val="1"/>
          <w:numId w:val="16"/>
        </w:numPr>
        <w:rPr>
          <w:rFonts w:ascii="Georgia" w:hAnsi="Georgia"/>
        </w:rPr>
      </w:pPr>
      <w:r w:rsidRPr="00A458AC">
        <w:rPr>
          <w:rFonts w:ascii="Georgia" w:hAnsi="Georgia"/>
        </w:rPr>
        <w:t>Availability of spiritual counseling in accordance with religious preference</w:t>
      </w:r>
      <w:r w:rsidR="00A458AC">
        <w:rPr>
          <w:rFonts w:ascii="Georgia" w:hAnsi="Georgia"/>
        </w:rPr>
        <w:t>\</w:t>
      </w:r>
    </w:p>
    <w:p w14:paraId="359384C2" w14:textId="77777777" w:rsidR="00A458AC" w:rsidRDefault="007669B2" w:rsidP="00A458AC">
      <w:pPr>
        <w:pStyle w:val="BodyTextIndent"/>
        <w:numPr>
          <w:ilvl w:val="1"/>
          <w:numId w:val="16"/>
        </w:numPr>
        <w:rPr>
          <w:rFonts w:ascii="Georgia" w:hAnsi="Georgia"/>
        </w:rPr>
      </w:pPr>
      <w:r w:rsidRPr="00A458AC">
        <w:rPr>
          <w:rFonts w:ascii="Georgia" w:hAnsi="Georgia"/>
        </w:rPr>
        <w:t>Hospice personnel to be involved in care</w:t>
      </w:r>
    </w:p>
    <w:p w14:paraId="7758D1ED" w14:textId="77777777" w:rsidR="007669B2" w:rsidRPr="00A458AC" w:rsidRDefault="007669B2" w:rsidP="00A458AC">
      <w:pPr>
        <w:pStyle w:val="BodyTextIndent"/>
        <w:numPr>
          <w:ilvl w:val="1"/>
          <w:numId w:val="16"/>
        </w:numPr>
        <w:rPr>
          <w:rFonts w:ascii="Georgia" w:hAnsi="Georgia"/>
        </w:rPr>
      </w:pPr>
      <w:r w:rsidRPr="00A458AC">
        <w:rPr>
          <w:rFonts w:ascii="Georgia" w:hAnsi="Georgia"/>
        </w:rPr>
        <w:t xml:space="preserve">Mechanism for notifying the patient and family/caregiver of changes in care and any related liability for payment </w:t>
      </w:r>
      <w:r w:rsidR="00717C5F" w:rsidRPr="00A458AC">
        <w:rPr>
          <w:rFonts w:ascii="Georgia" w:hAnsi="Georgia"/>
        </w:rPr>
        <w:t>because of</w:t>
      </w:r>
      <w:r w:rsidRPr="00A458AC">
        <w:rPr>
          <w:rFonts w:ascii="Georgia" w:hAnsi="Georgia"/>
        </w:rPr>
        <w:t xml:space="preserve"> those changes</w:t>
      </w:r>
    </w:p>
    <w:p w14:paraId="257A6DEE" w14:textId="77777777" w:rsidR="007669B2" w:rsidRPr="004E59FC" w:rsidRDefault="007669B2" w:rsidP="00F74405">
      <w:pPr>
        <w:pStyle w:val="BodyTextIndent"/>
        <w:numPr>
          <w:ilvl w:val="0"/>
          <w:numId w:val="16"/>
        </w:numPr>
        <w:rPr>
          <w:rFonts w:ascii="Georgia" w:hAnsi="Georgia"/>
        </w:rPr>
      </w:pPr>
      <w:r w:rsidRPr="004E59FC">
        <w:rPr>
          <w:rFonts w:ascii="Georgia" w:hAnsi="Georgia"/>
        </w:rPr>
        <w:t>The hospice registered nurse will document that the above information has been furnished to the patient and family/caregiver and any information not understood by the patient and family/caregiver.</w:t>
      </w:r>
    </w:p>
    <w:p w14:paraId="64D80E9D" w14:textId="77777777" w:rsidR="007669B2" w:rsidRPr="004E59FC" w:rsidRDefault="007669B2" w:rsidP="00F74405">
      <w:pPr>
        <w:pStyle w:val="BodyTextIndent"/>
        <w:numPr>
          <w:ilvl w:val="0"/>
          <w:numId w:val="16"/>
        </w:numPr>
        <w:rPr>
          <w:rFonts w:ascii="Georgia" w:hAnsi="Georgia"/>
        </w:rPr>
      </w:pPr>
      <w:r w:rsidRPr="004E59FC">
        <w:rPr>
          <w:rFonts w:ascii="Georgia" w:hAnsi="Georgia"/>
        </w:rPr>
        <w:t>The patient and family/caregiver, after review, will be given the opportunity to either accept or refuse services.</w:t>
      </w:r>
    </w:p>
    <w:p w14:paraId="5FF157E5" w14:textId="77777777" w:rsidR="008C5F31" w:rsidRDefault="007669B2" w:rsidP="00D67953">
      <w:pPr>
        <w:pStyle w:val="BodyTextIndent"/>
        <w:numPr>
          <w:ilvl w:val="0"/>
          <w:numId w:val="16"/>
        </w:numPr>
        <w:tabs>
          <w:tab w:val="clear" w:pos="360"/>
        </w:tabs>
        <w:rPr>
          <w:rFonts w:ascii="Georgia" w:hAnsi="Georgia"/>
        </w:rPr>
      </w:pPr>
      <w:r w:rsidRPr="004E59FC">
        <w:rPr>
          <w:rFonts w:ascii="Georgia" w:hAnsi="Georgia"/>
        </w:rPr>
        <w:t>The patient or his/her representative will sign the required forms indicating election of hospice care</w:t>
      </w:r>
      <w:r w:rsidR="00B520D1">
        <w:rPr>
          <w:rFonts w:ascii="Georgia" w:hAnsi="Georgia"/>
        </w:rPr>
        <w:t>,</w:t>
      </w:r>
      <w:r w:rsidRPr="004E59FC">
        <w:rPr>
          <w:rFonts w:ascii="Georgia" w:hAnsi="Georgia"/>
        </w:rPr>
        <w:t xml:space="preserve"> receipt of patient rights and privacy information</w:t>
      </w:r>
      <w:r w:rsidR="00B520D1">
        <w:rPr>
          <w:rFonts w:ascii="Georgia" w:hAnsi="Georgia"/>
        </w:rPr>
        <w:t xml:space="preserve"> as well patient’s financial liability for Hospice care and associated costs</w:t>
      </w:r>
      <w:r w:rsidRPr="004E59FC">
        <w:rPr>
          <w:rFonts w:ascii="Georgia" w:hAnsi="Georgia"/>
        </w:rPr>
        <w:t>.</w:t>
      </w:r>
      <w:r w:rsidR="008E51E0">
        <w:rPr>
          <w:rFonts w:ascii="Georgia" w:hAnsi="Georgia"/>
        </w:rPr>
        <w:t xml:space="preserve">  </w:t>
      </w:r>
    </w:p>
    <w:p w14:paraId="3C8B8862" w14:textId="15AFCD1B" w:rsidR="008C5F31" w:rsidRDefault="008E51E0" w:rsidP="008C5F31">
      <w:pPr>
        <w:pStyle w:val="BodyTextIndent"/>
        <w:numPr>
          <w:ilvl w:val="1"/>
          <w:numId w:val="16"/>
        </w:numPr>
        <w:rPr>
          <w:rFonts w:ascii="Georgia" w:hAnsi="Georgia"/>
        </w:rPr>
      </w:pPr>
      <w:r>
        <w:rPr>
          <w:rFonts w:ascii="Georgia" w:hAnsi="Georgia"/>
        </w:rPr>
        <w:lastRenderedPageBreak/>
        <w:t>They will be offered</w:t>
      </w:r>
      <w:r w:rsidR="008C5F31">
        <w:rPr>
          <w:rFonts w:ascii="Georgia" w:hAnsi="Georgia"/>
        </w:rPr>
        <w:t xml:space="preserve"> an election statement addendum if there are conditions, items, services, and drugs that Ohio Living Hospice has determined to be unrelated to the individual’s terminal illness and related conditions and would not be covered.  This addendum is available at any time during the patient’s hospice care.</w:t>
      </w:r>
    </w:p>
    <w:p w14:paraId="16B2D180" w14:textId="091CADCD" w:rsidR="008C5F31" w:rsidRDefault="008C5F31" w:rsidP="008C5F31">
      <w:pPr>
        <w:pStyle w:val="BodyTextIndent"/>
        <w:numPr>
          <w:ilvl w:val="1"/>
          <w:numId w:val="16"/>
        </w:numPr>
        <w:rPr>
          <w:rFonts w:ascii="Georgia" w:hAnsi="Georgia"/>
        </w:rPr>
      </w:pPr>
      <w:r>
        <w:rPr>
          <w:rFonts w:ascii="Georgia" w:hAnsi="Georgia"/>
        </w:rPr>
        <w:t>If addendum is requested within the first 5 days of the hospice election, hospice will provide this, in writing, within 5 days of the date of request.</w:t>
      </w:r>
    </w:p>
    <w:p w14:paraId="2C443E82" w14:textId="672A4249" w:rsidR="008C5F31" w:rsidRPr="008C5F31" w:rsidRDefault="008C5F31" w:rsidP="00A169BF">
      <w:pPr>
        <w:pStyle w:val="BodyTextIndent"/>
        <w:numPr>
          <w:ilvl w:val="1"/>
          <w:numId w:val="16"/>
        </w:numPr>
        <w:rPr>
          <w:rFonts w:ascii="Georgia" w:hAnsi="Georgia"/>
        </w:rPr>
      </w:pPr>
      <w:r>
        <w:rPr>
          <w:rFonts w:ascii="Georgia" w:hAnsi="Georgia"/>
        </w:rPr>
        <w:t xml:space="preserve">If the addendum is requested </w:t>
      </w:r>
      <w:proofErr w:type="gramStart"/>
      <w:r>
        <w:rPr>
          <w:rFonts w:ascii="Georgia" w:hAnsi="Georgia"/>
        </w:rPr>
        <w:t>during the course of</w:t>
      </w:r>
      <w:proofErr w:type="gramEnd"/>
      <w:r>
        <w:rPr>
          <w:rFonts w:ascii="Georgia" w:hAnsi="Georgia"/>
        </w:rPr>
        <w:t xml:space="preserve"> the patient’s hospice care</w:t>
      </w:r>
      <w:r w:rsidR="00BB63F2">
        <w:rPr>
          <w:rFonts w:ascii="Georgia" w:hAnsi="Georgia"/>
        </w:rPr>
        <w:t>, the addendum must be provided, in writing, within 3 days of the request.</w:t>
      </w:r>
    </w:p>
    <w:p w14:paraId="61538E5C" w14:textId="77777777" w:rsidR="007669B2" w:rsidRPr="004E59FC" w:rsidRDefault="007669B2" w:rsidP="00D67953">
      <w:pPr>
        <w:pStyle w:val="BodyTextIndent"/>
        <w:numPr>
          <w:ilvl w:val="0"/>
          <w:numId w:val="16"/>
        </w:numPr>
        <w:tabs>
          <w:tab w:val="clear" w:pos="360"/>
        </w:tabs>
        <w:rPr>
          <w:rFonts w:ascii="Georgia" w:hAnsi="Georgia"/>
        </w:rPr>
      </w:pPr>
      <w:r w:rsidRPr="004E59FC">
        <w:rPr>
          <w:rFonts w:ascii="Georgia" w:hAnsi="Georgia"/>
        </w:rPr>
        <w:t>The hospice registered nurse will assist the family in understanding changes in the patient’s status related to the progression of an end-stage disease.</w:t>
      </w:r>
    </w:p>
    <w:p w14:paraId="5D89513D" w14:textId="77777777" w:rsidR="007669B2" w:rsidRPr="004E59FC" w:rsidRDefault="007669B2" w:rsidP="00D67953">
      <w:pPr>
        <w:pStyle w:val="BodyTextIndent"/>
        <w:numPr>
          <w:ilvl w:val="0"/>
          <w:numId w:val="16"/>
        </w:numPr>
        <w:tabs>
          <w:tab w:val="clear" w:pos="360"/>
        </w:tabs>
        <w:rPr>
          <w:rFonts w:ascii="Georgia" w:hAnsi="Georgia"/>
        </w:rPr>
      </w:pPr>
      <w:r w:rsidRPr="004E59FC">
        <w:rPr>
          <w:rFonts w:ascii="Georgia" w:hAnsi="Georgia"/>
        </w:rPr>
        <w:t>The hospice registered nurse will educate the family in techniques for providing care.</w:t>
      </w:r>
    </w:p>
    <w:p w14:paraId="77FE7317" w14:textId="77777777" w:rsidR="007669B2" w:rsidRPr="004E59FC" w:rsidRDefault="007669B2" w:rsidP="00D67953">
      <w:pPr>
        <w:pStyle w:val="BodyTextIndent"/>
        <w:numPr>
          <w:ilvl w:val="0"/>
          <w:numId w:val="16"/>
        </w:numPr>
        <w:tabs>
          <w:tab w:val="clear" w:pos="360"/>
        </w:tabs>
        <w:rPr>
          <w:rFonts w:ascii="Georgia" w:hAnsi="Georgia"/>
        </w:rPr>
      </w:pPr>
      <w:r w:rsidRPr="004E59FC">
        <w:rPr>
          <w:rFonts w:ascii="Georgia" w:hAnsi="Georgia"/>
        </w:rPr>
        <w:t xml:space="preserve">The hospice registered nurse will contact the physician for clinical information in writing to certify </w:t>
      </w:r>
      <w:bookmarkStart w:id="1" w:name="_GoBack"/>
      <w:bookmarkEnd w:id="1"/>
      <w:r w:rsidRPr="004E59FC">
        <w:rPr>
          <w:rFonts w:ascii="Georgia" w:hAnsi="Georgia"/>
        </w:rPr>
        <w:t>patient for hospice care.</w:t>
      </w:r>
    </w:p>
    <w:p w14:paraId="779222B4" w14:textId="77777777" w:rsidR="007669B2" w:rsidRPr="004E59FC" w:rsidRDefault="007669B2" w:rsidP="00D67953">
      <w:pPr>
        <w:pStyle w:val="BodyTextIndent"/>
        <w:numPr>
          <w:ilvl w:val="0"/>
          <w:numId w:val="16"/>
        </w:numPr>
        <w:tabs>
          <w:tab w:val="clear" w:pos="360"/>
        </w:tabs>
        <w:rPr>
          <w:rFonts w:ascii="Georgia" w:hAnsi="Georgia"/>
          <w:strike/>
        </w:rPr>
      </w:pPr>
      <w:r w:rsidRPr="004E59FC">
        <w:rPr>
          <w:rFonts w:ascii="Georgia" w:hAnsi="Georgia"/>
        </w:rPr>
        <w:t xml:space="preserve">The hospice registered nurse will complete an initial assessment within </w:t>
      </w:r>
      <w:r w:rsidR="00856286" w:rsidRPr="004E59FC">
        <w:rPr>
          <w:rFonts w:ascii="Georgia" w:hAnsi="Georgia"/>
        </w:rPr>
        <w:t>48 hours</w:t>
      </w:r>
      <w:r w:rsidRPr="004E59FC">
        <w:rPr>
          <w:rFonts w:ascii="Georgia" w:hAnsi="Georgia"/>
        </w:rPr>
        <w:t xml:space="preserve"> after the election of the hospice care (unless the physician, patient or representative requests that the initial assessment be completed in less than 48 hours.) </w:t>
      </w:r>
    </w:p>
    <w:p w14:paraId="3C4A3C37" w14:textId="77777777" w:rsidR="007669B2" w:rsidRDefault="007669B2" w:rsidP="00D67953">
      <w:pPr>
        <w:pStyle w:val="BodyTextIndent"/>
        <w:numPr>
          <w:ilvl w:val="0"/>
          <w:numId w:val="16"/>
        </w:numPr>
        <w:tabs>
          <w:tab w:val="clear" w:pos="360"/>
        </w:tabs>
        <w:rPr>
          <w:rFonts w:ascii="Georgia" w:hAnsi="Georgia"/>
        </w:rPr>
      </w:pPr>
      <w:r w:rsidRPr="00717C5F">
        <w:rPr>
          <w:rFonts w:ascii="Georgia" w:hAnsi="Georgia"/>
        </w:rPr>
        <w:t xml:space="preserve">The hospice registered nurse will contact the interdisciplinary group for input into the plan of care, prior to the delivery of care.  </w:t>
      </w:r>
    </w:p>
    <w:p w14:paraId="06F4E852" w14:textId="7EC15A0D" w:rsidR="00856286" w:rsidRDefault="007669B2" w:rsidP="00D67953">
      <w:pPr>
        <w:pStyle w:val="BodyTextIndent"/>
        <w:numPr>
          <w:ilvl w:val="0"/>
          <w:numId w:val="16"/>
        </w:numPr>
        <w:tabs>
          <w:tab w:val="clear" w:pos="360"/>
        </w:tabs>
        <w:rPr>
          <w:rFonts w:ascii="Avenir" w:hAnsi="Avenir"/>
        </w:rPr>
      </w:pPr>
      <w:r w:rsidRPr="00717C5F">
        <w:rPr>
          <w:rFonts w:ascii="Georgia" w:hAnsi="Georgia"/>
        </w:rPr>
        <w:t>If the patient is accepted for hospice care, a comprehensive assessment of the patient will be performed no later than 5 calendar days after the election of hospice care.  A plan of care will be developed by the attending  physician</w:t>
      </w:r>
      <w:r w:rsidR="00BB63F2">
        <w:rPr>
          <w:rFonts w:ascii="Georgia" w:hAnsi="Georgia"/>
        </w:rPr>
        <w:t>, if any</w:t>
      </w:r>
      <w:r w:rsidRPr="00717C5F">
        <w:rPr>
          <w:rFonts w:ascii="Georgia" w:hAnsi="Georgia"/>
        </w:rPr>
        <w:t xml:space="preserve">, the </w:t>
      </w:r>
      <w:r w:rsidR="00BB63F2">
        <w:rPr>
          <w:rFonts w:ascii="Georgia" w:hAnsi="Georgia"/>
        </w:rPr>
        <w:t xml:space="preserve">Hospice </w:t>
      </w:r>
      <w:r w:rsidRPr="00717C5F">
        <w:rPr>
          <w:rFonts w:ascii="Georgia" w:hAnsi="Georgia"/>
        </w:rPr>
        <w:t xml:space="preserve">Medical Director or physician designee, and the hospice team.  </w:t>
      </w:r>
      <w:r w:rsidR="00BB63F2">
        <w:rPr>
          <w:rFonts w:ascii="Georgia" w:hAnsi="Georgia"/>
        </w:rPr>
        <w:t>The Plan of Care</w:t>
      </w:r>
      <w:r w:rsidRPr="00717C5F">
        <w:rPr>
          <w:rFonts w:ascii="Georgia" w:hAnsi="Georgia"/>
        </w:rPr>
        <w:t xml:space="preserve"> will  be submitted to the attending physician for signature</w:t>
      </w:r>
      <w:r w:rsidR="00BB63F2">
        <w:rPr>
          <w:rFonts w:ascii="Georgia" w:hAnsi="Georgia"/>
        </w:rPr>
        <w:t xml:space="preserve"> and Hospice Medical Director for signature</w:t>
      </w:r>
      <w:r w:rsidRPr="00717C5F">
        <w:rPr>
          <w:rFonts w:ascii="Georgia" w:hAnsi="Georgia"/>
        </w:rPr>
        <w:t>.  The patient’s wishes/desires will be considered and respected in the development of the plan of care</w:t>
      </w:r>
      <w:r w:rsidR="00717C5F">
        <w:rPr>
          <w:rFonts w:ascii="Georgia" w:hAnsi="Georgia"/>
        </w:rPr>
        <w:t>.</w:t>
      </w:r>
    </w:p>
    <w:p w14:paraId="7C813933" w14:textId="77777777" w:rsidR="00856286" w:rsidRDefault="00856286" w:rsidP="00D67953">
      <w:pPr>
        <w:pStyle w:val="BodyTextIndent"/>
        <w:numPr>
          <w:ilvl w:val="0"/>
          <w:numId w:val="16"/>
        </w:numPr>
        <w:rPr>
          <w:rFonts w:ascii="Avenir" w:hAnsi="Avenir"/>
        </w:rPr>
      </w:pPr>
      <w:r w:rsidRPr="00856286">
        <w:rPr>
          <w:rFonts w:ascii="Georgia" w:hAnsi="Georgia"/>
        </w:rPr>
        <w:t xml:space="preserve">The time </w:t>
      </w:r>
      <w:r w:rsidRPr="00856286">
        <w:rPr>
          <w:rFonts w:ascii="Georgia" w:hAnsi="Georgia"/>
          <w:szCs w:val="24"/>
        </w:rPr>
        <w:t>frames</w:t>
      </w:r>
      <w:r w:rsidRPr="00856286">
        <w:rPr>
          <w:rFonts w:ascii="Georgia" w:hAnsi="Georgia"/>
        </w:rPr>
        <w:t xml:space="preserve"> will apply for weekends and holidays, as well as weekday admissions.</w:t>
      </w:r>
    </w:p>
    <w:p w14:paraId="047C4833" w14:textId="77777777" w:rsidR="00856286" w:rsidRDefault="00856286" w:rsidP="00D67953">
      <w:pPr>
        <w:pStyle w:val="BodyTextIndent"/>
        <w:numPr>
          <w:ilvl w:val="0"/>
          <w:numId w:val="16"/>
        </w:numPr>
        <w:rPr>
          <w:rFonts w:ascii="Avenir" w:hAnsi="Avenir"/>
        </w:rPr>
      </w:pPr>
      <w:r w:rsidRPr="00856286">
        <w:rPr>
          <w:rFonts w:ascii="Georgia" w:hAnsi="Georgia"/>
        </w:rPr>
        <w:t xml:space="preserve">A clinical record will be </w:t>
      </w:r>
      <w:r w:rsidRPr="00856286">
        <w:rPr>
          <w:rFonts w:ascii="Georgia" w:hAnsi="Georgia"/>
          <w:szCs w:val="24"/>
        </w:rPr>
        <w:t>initiated</w:t>
      </w:r>
      <w:r w:rsidRPr="00856286">
        <w:rPr>
          <w:rFonts w:ascii="Georgia" w:hAnsi="Georgia"/>
        </w:rPr>
        <w:t xml:space="preserve"> for each patient admitted for hospice services.</w:t>
      </w:r>
    </w:p>
    <w:p w14:paraId="2EEA8AF2" w14:textId="77777777" w:rsidR="00856286" w:rsidRDefault="00856286" w:rsidP="00D67953">
      <w:pPr>
        <w:pStyle w:val="BodyTextIndent"/>
        <w:numPr>
          <w:ilvl w:val="0"/>
          <w:numId w:val="16"/>
        </w:numPr>
        <w:rPr>
          <w:rFonts w:ascii="Avenir" w:hAnsi="Avenir"/>
        </w:rPr>
      </w:pPr>
      <w:r w:rsidRPr="00856286">
        <w:rPr>
          <w:rFonts w:ascii="Georgia" w:hAnsi="Georgia"/>
        </w:rPr>
        <w:t>If a patient does not meet the admission criteria or cannot be cared for by Ohio Living, the Clinical Team Leader should be notified and appropriate referrals to other sources of care made on behalf of the patient.</w:t>
      </w:r>
    </w:p>
    <w:p w14:paraId="76E12527" w14:textId="77777777" w:rsidR="00856286" w:rsidRPr="00856286" w:rsidRDefault="00856286" w:rsidP="00D67953">
      <w:pPr>
        <w:pStyle w:val="BodyTextIndent"/>
        <w:numPr>
          <w:ilvl w:val="0"/>
          <w:numId w:val="16"/>
        </w:numPr>
        <w:rPr>
          <w:rFonts w:ascii="Avenir" w:hAnsi="Avenir"/>
        </w:rPr>
      </w:pPr>
      <w:r w:rsidRPr="00856286">
        <w:rPr>
          <w:rFonts w:ascii="Georgia" w:hAnsi="Georgia"/>
        </w:rPr>
        <w:t xml:space="preserve">The following </w:t>
      </w:r>
      <w:r w:rsidRPr="00856286">
        <w:rPr>
          <w:rFonts w:ascii="Georgia" w:hAnsi="Georgia"/>
          <w:szCs w:val="24"/>
        </w:rPr>
        <w:t>individuals</w:t>
      </w:r>
      <w:r w:rsidRPr="00856286">
        <w:rPr>
          <w:rFonts w:ascii="Georgia" w:hAnsi="Georgia"/>
        </w:rPr>
        <w:t xml:space="preserve"> should be notified of non-admi</w:t>
      </w:r>
      <w:r w:rsidR="00B520D1">
        <w:rPr>
          <w:rFonts w:ascii="Georgia" w:hAnsi="Georgia"/>
        </w:rPr>
        <w:t>s</w:t>
      </w:r>
      <w:r w:rsidRPr="00856286">
        <w:rPr>
          <w:rFonts w:ascii="Georgia" w:hAnsi="Georgia"/>
        </w:rPr>
        <w:t>s</w:t>
      </w:r>
      <w:r w:rsidR="00B520D1">
        <w:rPr>
          <w:rFonts w:ascii="Georgia" w:hAnsi="Georgia"/>
        </w:rPr>
        <w:t>ions</w:t>
      </w:r>
      <w:r w:rsidRPr="00856286">
        <w:rPr>
          <w:rFonts w:ascii="Georgia" w:hAnsi="Georgia"/>
        </w:rPr>
        <w:t>:</w:t>
      </w:r>
    </w:p>
    <w:p w14:paraId="365B2EB2" w14:textId="77777777" w:rsidR="00856286" w:rsidRPr="00856286" w:rsidRDefault="00856286" w:rsidP="00856286">
      <w:pPr>
        <w:pStyle w:val="BodyTextIndent"/>
        <w:numPr>
          <w:ilvl w:val="1"/>
          <w:numId w:val="16"/>
        </w:numPr>
        <w:rPr>
          <w:rFonts w:ascii="Avenir" w:hAnsi="Avenir"/>
        </w:rPr>
      </w:pPr>
      <w:r w:rsidRPr="00856286">
        <w:rPr>
          <w:rFonts w:ascii="Georgia" w:hAnsi="Georgia"/>
        </w:rPr>
        <w:t>Patient</w:t>
      </w:r>
    </w:p>
    <w:p w14:paraId="631B414C" w14:textId="77777777" w:rsidR="00856286" w:rsidRPr="00856286" w:rsidRDefault="00856286" w:rsidP="00856286">
      <w:pPr>
        <w:pStyle w:val="BodyTextIndent"/>
        <w:numPr>
          <w:ilvl w:val="1"/>
          <w:numId w:val="16"/>
        </w:numPr>
        <w:rPr>
          <w:rFonts w:ascii="Avenir" w:hAnsi="Avenir"/>
        </w:rPr>
      </w:pPr>
      <w:r w:rsidRPr="00856286">
        <w:rPr>
          <w:rFonts w:ascii="Georgia" w:hAnsi="Georgia"/>
        </w:rPr>
        <w:t>Physician</w:t>
      </w:r>
    </w:p>
    <w:p w14:paraId="27A4EA43" w14:textId="77777777" w:rsidR="00856286" w:rsidRPr="00856286" w:rsidRDefault="00856286" w:rsidP="00856286">
      <w:pPr>
        <w:pStyle w:val="BodyTextIndent"/>
        <w:numPr>
          <w:ilvl w:val="1"/>
          <w:numId w:val="16"/>
        </w:numPr>
        <w:rPr>
          <w:rFonts w:ascii="Avenir" w:hAnsi="Avenir"/>
        </w:rPr>
      </w:pPr>
      <w:r w:rsidRPr="00856286">
        <w:rPr>
          <w:rFonts w:ascii="Georgia" w:hAnsi="Georgia"/>
        </w:rPr>
        <w:t>Referral source (if not physician)</w:t>
      </w:r>
    </w:p>
    <w:p w14:paraId="7CBBC428" w14:textId="77777777" w:rsidR="00856286" w:rsidRPr="00856286" w:rsidRDefault="00856286" w:rsidP="00856286">
      <w:pPr>
        <w:pStyle w:val="BodyTextIndent"/>
        <w:numPr>
          <w:ilvl w:val="0"/>
          <w:numId w:val="16"/>
        </w:numPr>
        <w:rPr>
          <w:rFonts w:ascii="Avenir" w:hAnsi="Avenir"/>
        </w:rPr>
      </w:pPr>
      <w:r w:rsidRPr="00856286">
        <w:rPr>
          <w:rFonts w:ascii="Georgia" w:hAnsi="Georgia"/>
        </w:rPr>
        <w:t>A record of non-admits will be kept for statistical purposes, with date of referral, date of assessment, patient name, services required, physician, reason for non-admit, referral to other hospice care facilities, etc.</w:t>
      </w:r>
    </w:p>
    <w:p w14:paraId="4A613F19" w14:textId="77777777" w:rsidR="00856286" w:rsidRPr="00500DCD" w:rsidRDefault="00856286" w:rsidP="00500DCD">
      <w:pPr>
        <w:pStyle w:val="BodyTextIndent"/>
        <w:numPr>
          <w:ilvl w:val="0"/>
          <w:numId w:val="16"/>
        </w:numPr>
        <w:rPr>
          <w:rFonts w:ascii="Georgia" w:hAnsi="Georgia"/>
        </w:rPr>
      </w:pPr>
      <w:r w:rsidRPr="00711EA3">
        <w:rPr>
          <w:rFonts w:ascii="Georgia" w:hAnsi="Georgia"/>
        </w:rPr>
        <w:t>When continued care to a patient contradicts the recommendations of an external or internal entity performing a utilization review, the Executive Director/</w:t>
      </w:r>
      <w:r w:rsidRPr="00711EA3">
        <w:rPr>
          <w:rFonts w:ascii="Georgia" w:hAnsi="Georgia"/>
          <w:szCs w:val="24"/>
        </w:rPr>
        <w:t>Administrator</w:t>
      </w:r>
      <w:r w:rsidRPr="00711EA3">
        <w:rPr>
          <w:rFonts w:ascii="Georgia" w:hAnsi="Georgia"/>
        </w:rPr>
        <w:t xml:space="preserve"> will be notified. All care, service, and discharge decisions must be made in response to the care required by the patient, regardless of the external or internal organization’s recommendation. The patient and family/caregiver, as appropriate, and physician will be involved in deliberations about the denial of care or conflict about care decisions.</w:t>
      </w:r>
      <w:r w:rsidR="00711EA3">
        <w:rPr>
          <w:rFonts w:ascii="Georgia" w:hAnsi="Georgia"/>
        </w:rPr>
        <w:t xml:space="preserve"> </w:t>
      </w:r>
    </w:p>
    <w:sectPr w:rsidR="00856286" w:rsidRPr="00500DCD" w:rsidSect="00500DCD">
      <w:headerReference w:type="default" r:id="rId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DE2E59" w16cex:dateUtc="2024-05-02T19:23:00Z"/>
  <w16cex:commentExtensible w16cex:durableId="29DE2E68" w16cex:dateUtc="2024-05-02T19:2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B1C9C" w14:textId="77777777" w:rsidR="001F42C5" w:rsidRDefault="001F42C5" w:rsidP="00004886">
      <w:r>
        <w:separator/>
      </w:r>
    </w:p>
  </w:endnote>
  <w:endnote w:type="continuationSeparator" w:id="0">
    <w:p w14:paraId="4DABCF4A" w14:textId="77777777" w:rsidR="001F42C5" w:rsidRDefault="001F42C5" w:rsidP="00004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869735421"/>
      <w:docPartObj>
        <w:docPartGallery w:val="Page Numbers (Top of Page)"/>
        <w:docPartUnique/>
      </w:docPartObj>
    </w:sdtPr>
    <w:sdtEndPr/>
    <w:sdtContent>
      <w:p w14:paraId="23FE43CD" w14:textId="77777777" w:rsidR="00500DCD" w:rsidRPr="00500DCD" w:rsidRDefault="00500DCD" w:rsidP="00500DCD">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5</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92192868"/>
      <w:docPartObj>
        <w:docPartGallery w:val="Page Numbers (Bottom of Page)"/>
        <w:docPartUnique/>
      </w:docPartObj>
    </w:sdtPr>
    <w:sdtEndPr/>
    <w:sdtContent>
      <w:sdt>
        <w:sdtPr>
          <w:rPr>
            <w:rFonts w:ascii="Avenir" w:hAnsi="Avenir"/>
          </w:rPr>
          <w:id w:val="-677880652"/>
          <w:docPartObj>
            <w:docPartGallery w:val="Page Numbers (Top of Page)"/>
            <w:docPartUnique/>
          </w:docPartObj>
        </w:sdtPr>
        <w:sdtEndPr/>
        <w:sdtContent>
          <w:p w14:paraId="639F2E30" w14:textId="77777777" w:rsidR="003A605C" w:rsidRPr="00F74405" w:rsidRDefault="003A605C" w:rsidP="00F74405">
            <w:pPr>
              <w:pStyle w:val="Footer"/>
              <w:jc w:val="right"/>
              <w:rPr>
                <w:rFonts w:ascii="Avenir" w:hAnsi="Avenir"/>
                <w:b/>
                <w:sz w:val="24"/>
                <w:szCs w:val="24"/>
              </w:rPr>
            </w:pPr>
            <w:r w:rsidRPr="0091763A">
              <w:rPr>
                <w:rFonts w:ascii="Avenir" w:hAnsi="Avenir"/>
              </w:rPr>
              <w:t xml:space="preserve">Page </w:t>
            </w:r>
            <w:r w:rsidR="001D12AA" w:rsidRPr="0091763A">
              <w:rPr>
                <w:rFonts w:ascii="Avenir" w:hAnsi="Avenir"/>
                <w:b/>
                <w:sz w:val="24"/>
                <w:szCs w:val="24"/>
              </w:rPr>
              <w:fldChar w:fldCharType="begin"/>
            </w:r>
            <w:r w:rsidRPr="0091763A">
              <w:rPr>
                <w:rFonts w:ascii="Avenir" w:hAnsi="Avenir"/>
                <w:b/>
              </w:rPr>
              <w:instrText xml:space="preserve"> PAGE </w:instrText>
            </w:r>
            <w:r w:rsidR="001D12AA" w:rsidRPr="0091763A">
              <w:rPr>
                <w:rFonts w:ascii="Avenir" w:hAnsi="Avenir"/>
                <w:b/>
                <w:sz w:val="24"/>
                <w:szCs w:val="24"/>
              </w:rPr>
              <w:fldChar w:fldCharType="separate"/>
            </w:r>
            <w:r w:rsidR="004D66B8">
              <w:rPr>
                <w:rFonts w:ascii="Avenir" w:hAnsi="Avenir"/>
                <w:b/>
                <w:noProof/>
              </w:rPr>
              <w:t>1</w:t>
            </w:r>
            <w:r w:rsidR="001D12AA" w:rsidRPr="0091763A">
              <w:rPr>
                <w:rFonts w:ascii="Avenir" w:hAnsi="Avenir"/>
                <w:b/>
                <w:sz w:val="24"/>
                <w:szCs w:val="24"/>
              </w:rPr>
              <w:fldChar w:fldCharType="end"/>
            </w:r>
            <w:r w:rsidRPr="0091763A">
              <w:rPr>
                <w:rFonts w:ascii="Avenir" w:hAnsi="Avenir"/>
              </w:rPr>
              <w:t xml:space="preserve"> of </w:t>
            </w:r>
            <w:r w:rsidR="001D12AA" w:rsidRPr="0091763A">
              <w:rPr>
                <w:rFonts w:ascii="Avenir" w:hAnsi="Avenir"/>
                <w:b/>
                <w:sz w:val="24"/>
                <w:szCs w:val="24"/>
              </w:rPr>
              <w:fldChar w:fldCharType="begin"/>
            </w:r>
            <w:r w:rsidRPr="0091763A">
              <w:rPr>
                <w:rFonts w:ascii="Avenir" w:hAnsi="Avenir"/>
                <w:b/>
              </w:rPr>
              <w:instrText xml:space="preserve"> NUMPAGES  </w:instrText>
            </w:r>
            <w:r w:rsidR="001D12AA" w:rsidRPr="0091763A">
              <w:rPr>
                <w:rFonts w:ascii="Avenir" w:hAnsi="Avenir"/>
                <w:b/>
                <w:sz w:val="24"/>
                <w:szCs w:val="24"/>
              </w:rPr>
              <w:fldChar w:fldCharType="separate"/>
            </w:r>
            <w:r w:rsidR="004D66B8">
              <w:rPr>
                <w:rFonts w:ascii="Avenir" w:hAnsi="Avenir"/>
                <w:b/>
                <w:noProof/>
              </w:rPr>
              <w:t>3</w:t>
            </w:r>
            <w:r w:rsidR="001D12AA"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BE72A2" w14:textId="77777777" w:rsidR="001F42C5" w:rsidRDefault="001F42C5" w:rsidP="00004886">
      <w:r>
        <w:separator/>
      </w:r>
    </w:p>
  </w:footnote>
  <w:footnote w:type="continuationSeparator" w:id="0">
    <w:p w14:paraId="7AD9CABA" w14:textId="77777777" w:rsidR="001F42C5" w:rsidRDefault="001F42C5" w:rsidP="00004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F58B2" w14:textId="77777777" w:rsidR="003A605C" w:rsidRDefault="00546D27"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73183FD5" wp14:editId="0455C25F">
              <wp:simplePos x="0" y="0"/>
              <wp:positionH relativeFrom="column">
                <wp:posOffset>3409950</wp:posOffset>
              </wp:positionH>
              <wp:positionV relativeFrom="paragraph">
                <wp:posOffset>87630</wp:posOffset>
              </wp:positionV>
              <wp:extent cx="287909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D24E9E"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183FD5"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" stroked="f">
              <v:textbox style="mso-fit-shape-to-text:t">
                <w:txbxContent>
                  <w:p w14:paraId="72D24E9E" w14:textId="77777777" w:rsidR="003A605C" w:rsidRPr="0091763A" w:rsidRDefault="004039FB" w:rsidP="00004886">
                    <w:pPr>
                      <w:jc w:val="right"/>
                      <w:rPr>
                        <w:rFonts w:ascii="Avenir" w:hAnsi="Avenir"/>
                        <w:sz w:val="32"/>
                        <w:szCs w:val="32"/>
                      </w:rPr>
                    </w:pPr>
                    <w:r>
                      <w:rPr>
                        <w:rFonts w:ascii="Avenir" w:hAnsi="Avenir"/>
                        <w:sz w:val="32"/>
                        <w:szCs w:val="32"/>
                      </w:rPr>
                      <w:t>H</w:t>
                    </w:r>
                    <w:r w:rsidR="00282429">
                      <w:rPr>
                        <w:rFonts w:ascii="Avenir" w:hAnsi="Avenir"/>
                        <w:sz w:val="32"/>
                        <w:szCs w:val="32"/>
                      </w:rPr>
                      <w:t xml:space="preserve">ospice </w:t>
                    </w:r>
                    <w:r w:rsidR="003A605C" w:rsidRPr="0091763A">
                      <w:rPr>
                        <w:rFonts w:ascii="Avenir" w:hAnsi="Avenir"/>
                        <w:sz w:val="32"/>
                        <w:szCs w:val="32"/>
                      </w:rPr>
                      <w:t>Policy</w:t>
                    </w:r>
                  </w:p>
                </w:txbxContent>
              </v:textbox>
            </v:shape>
          </w:pict>
        </mc:Fallback>
      </mc:AlternateContent>
    </w:r>
    <w:r w:rsidR="004D66B8">
      <w:rPr>
        <w:noProof/>
      </w:rPr>
      <w:drawing>
        <wp:inline distT="0" distB="0" distL="0" distR="0" wp14:anchorId="690E7C6B" wp14:editId="6BC800C4">
          <wp:extent cx="2176145" cy="572770"/>
          <wp:effectExtent l="0" t="0" r="0" b="0"/>
          <wp:docPr id="8" name="Picture 1" descr="HHH-Black- for forms.jpg"/>
          <wp:cNvGraphicFramePr/>
          <a:graphic xmlns:a="http://schemas.openxmlformats.org/drawingml/2006/main">
            <a:graphicData uri="http://schemas.openxmlformats.org/drawingml/2006/picture">
              <pic:pic xmlns:pic="http://schemas.openxmlformats.org/drawingml/2006/picture">
                <pic:nvPicPr>
                  <pic:cNvPr id="2" name="Picture 1" descr="HHH-Black- for forms.jpg"/>
                  <pic:cNvPicPr/>
                </pic:nvPicPr>
                <pic:blipFill>
                  <a:blip r:embed="rId1"/>
                  <a:stretch>
                    <a:fillRect/>
                  </a:stretch>
                </pic:blipFill>
                <pic:spPr>
                  <a:xfrm>
                    <a:off x="0" y="0"/>
                    <a:ext cx="2176145" cy="572770"/>
                  </a:xfrm>
                  <a:prstGeom prst="rect">
                    <a:avLst/>
                  </a:prstGeom>
                </pic:spPr>
              </pic:pic>
            </a:graphicData>
          </a:graphic>
        </wp:inline>
      </w:drawing>
    </w:r>
    <w:r w:rsidR="003A605C">
      <w:t xml:space="preserve"> </w:t>
    </w:r>
  </w:p>
  <w:p w14:paraId="6FFA8C5D" w14:textId="77777777" w:rsidR="00500DCD" w:rsidRDefault="00500DCD" w:rsidP="00004886">
    <w:pPr>
      <w:pStyle w:val="Heade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3121"/>
      <w:gridCol w:w="3119"/>
    </w:tblGrid>
    <w:tr w:rsidR="00500DCD" w:rsidRPr="00004886" w14:paraId="4908A302" w14:textId="77777777" w:rsidTr="00500DCD">
      <w:trPr>
        <w:trHeight w:val="432"/>
      </w:trPr>
      <w:tc>
        <w:tcPr>
          <w:tcW w:w="9350" w:type="dxa"/>
          <w:gridSpan w:val="3"/>
          <w:shd w:val="clear" w:color="auto" w:fill="D9D9D9" w:themeFill="background1" w:themeFillShade="D9"/>
          <w:vAlign w:val="center"/>
        </w:tcPr>
        <w:p w14:paraId="79E7B49B" w14:textId="77777777" w:rsidR="00500DCD" w:rsidRPr="0091763A" w:rsidRDefault="00500DCD" w:rsidP="00500DCD">
          <w:pPr>
            <w:rPr>
              <w:rFonts w:ascii="Avenir" w:eastAsiaTheme="minorHAnsi" w:hAnsi="Avenir" w:cstheme="minorBidi"/>
              <w:b/>
            </w:rPr>
          </w:pPr>
          <w:r w:rsidRPr="0091763A">
            <w:rPr>
              <w:rFonts w:ascii="Avenir" w:eastAsiaTheme="minorHAnsi" w:hAnsi="Avenir" w:cstheme="minorBidi"/>
              <w:b/>
            </w:rPr>
            <w:t>Policy Name</w:t>
          </w:r>
        </w:p>
      </w:tc>
    </w:tr>
    <w:tr w:rsidR="00500DCD" w:rsidRPr="000B2666" w14:paraId="35E06A0A" w14:textId="77777777" w:rsidTr="00500DCD">
      <w:trPr>
        <w:trHeight w:val="432"/>
      </w:trPr>
      <w:tc>
        <w:tcPr>
          <w:tcW w:w="9350" w:type="dxa"/>
          <w:gridSpan w:val="3"/>
          <w:vAlign w:val="center"/>
        </w:tcPr>
        <w:p w14:paraId="6B625193" w14:textId="77777777" w:rsidR="00500DCD" w:rsidRPr="000B2666" w:rsidRDefault="00500DCD" w:rsidP="00500DCD">
          <w:pPr>
            <w:rPr>
              <w:rFonts w:ascii="Georgia" w:eastAsiaTheme="minorHAnsi" w:hAnsi="Georgia" w:cstheme="minorBidi"/>
            </w:rPr>
          </w:pPr>
          <w:r>
            <w:rPr>
              <w:rFonts w:ascii="Georgia" w:eastAsiaTheme="minorHAnsi" w:hAnsi="Georgia" w:cstheme="minorBidi"/>
            </w:rPr>
            <w:t>Admission Criteria and Process</w:t>
          </w:r>
        </w:p>
      </w:tc>
    </w:tr>
    <w:tr w:rsidR="00017F74" w:rsidRPr="00004886" w14:paraId="34659F5C" w14:textId="77777777" w:rsidTr="00500DCD">
      <w:tc>
        <w:tcPr>
          <w:tcW w:w="3110" w:type="dxa"/>
          <w:shd w:val="clear" w:color="auto" w:fill="D9D9D9" w:themeFill="background1" w:themeFillShade="D9"/>
        </w:tcPr>
        <w:p w14:paraId="7D50E25D"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Effective Date</w:t>
          </w:r>
        </w:p>
      </w:tc>
      <w:tc>
        <w:tcPr>
          <w:tcW w:w="3121" w:type="dxa"/>
          <w:shd w:val="clear" w:color="auto" w:fill="D9D9D9" w:themeFill="background1" w:themeFillShade="D9"/>
          <w:tcMar>
            <w:top w:w="115" w:type="dxa"/>
            <w:left w:w="115" w:type="dxa"/>
            <w:bottom w:w="115" w:type="dxa"/>
            <w:right w:w="115" w:type="dxa"/>
          </w:tcMar>
        </w:tcPr>
        <w:p w14:paraId="2308F6BC"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Revised Date</w:t>
          </w:r>
        </w:p>
      </w:tc>
      <w:tc>
        <w:tcPr>
          <w:tcW w:w="3119" w:type="dxa"/>
          <w:shd w:val="clear" w:color="auto" w:fill="D9D9D9" w:themeFill="background1" w:themeFillShade="D9"/>
        </w:tcPr>
        <w:p w14:paraId="29EE41F8" w14:textId="77777777" w:rsidR="00017F74" w:rsidRPr="0091763A" w:rsidRDefault="00017F74" w:rsidP="00D755F0">
          <w:pPr>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3D3B3012" w14:textId="77777777" w:rsidTr="00500DCD">
      <w:tc>
        <w:tcPr>
          <w:tcW w:w="3110" w:type="dxa"/>
        </w:tcPr>
        <w:p w14:paraId="399F6536" w14:textId="77777777" w:rsidR="00017F74" w:rsidRPr="00383057" w:rsidRDefault="00F74405" w:rsidP="00D755F0">
          <w:pPr>
            <w:rPr>
              <w:rFonts w:ascii="Georgia" w:eastAsiaTheme="minorHAnsi" w:hAnsi="Georgia" w:cstheme="minorBidi"/>
            </w:rPr>
          </w:pPr>
          <w:r>
            <w:rPr>
              <w:rFonts w:ascii="Georgia" w:eastAsiaTheme="minorHAnsi" w:hAnsi="Georgia" w:cstheme="minorBidi"/>
            </w:rPr>
            <w:t>0</w:t>
          </w:r>
          <w:r w:rsidR="005F4D1B">
            <w:rPr>
              <w:rFonts w:ascii="Georgia" w:eastAsiaTheme="minorHAnsi" w:hAnsi="Georgia" w:cstheme="minorBidi"/>
            </w:rPr>
            <w:t>8</w:t>
          </w:r>
          <w:r w:rsidR="006C0ECD">
            <w:rPr>
              <w:rFonts w:ascii="Georgia" w:eastAsiaTheme="minorHAnsi" w:hAnsi="Georgia" w:cstheme="minorBidi"/>
            </w:rPr>
            <w:t>/</w:t>
          </w:r>
          <w:r>
            <w:rPr>
              <w:rFonts w:ascii="Georgia" w:eastAsiaTheme="minorHAnsi" w:hAnsi="Georgia" w:cstheme="minorBidi"/>
            </w:rPr>
            <w:t>0</w:t>
          </w:r>
          <w:r w:rsidR="005F4D1B">
            <w:rPr>
              <w:rFonts w:ascii="Georgia" w:eastAsiaTheme="minorHAnsi" w:hAnsi="Georgia" w:cstheme="minorBidi"/>
            </w:rPr>
            <w:t>6</w:t>
          </w:r>
          <w:r w:rsidR="006C0ECD">
            <w:rPr>
              <w:rFonts w:ascii="Georgia" w:eastAsiaTheme="minorHAnsi" w:hAnsi="Georgia" w:cstheme="minorBidi"/>
            </w:rPr>
            <w:t>/</w:t>
          </w:r>
          <w:r>
            <w:rPr>
              <w:rFonts w:ascii="Georgia" w:eastAsiaTheme="minorHAnsi" w:hAnsi="Georgia" w:cstheme="minorBidi"/>
            </w:rPr>
            <w:t>20</w:t>
          </w:r>
          <w:r w:rsidR="006C0ECD">
            <w:rPr>
              <w:rFonts w:ascii="Georgia" w:eastAsiaTheme="minorHAnsi" w:hAnsi="Georgia" w:cstheme="minorBidi"/>
            </w:rPr>
            <w:t>14</w:t>
          </w:r>
        </w:p>
      </w:tc>
      <w:tc>
        <w:tcPr>
          <w:tcW w:w="3121" w:type="dxa"/>
          <w:tcMar>
            <w:top w:w="115" w:type="dxa"/>
            <w:left w:w="115" w:type="dxa"/>
            <w:bottom w:w="115" w:type="dxa"/>
            <w:right w:w="115" w:type="dxa"/>
          </w:tcMar>
        </w:tcPr>
        <w:p w14:paraId="32FAABD3" w14:textId="1EDF5BA6" w:rsidR="00017F74" w:rsidRPr="00383057" w:rsidRDefault="00A169BF" w:rsidP="00D755F0">
          <w:pPr>
            <w:rPr>
              <w:rFonts w:ascii="Georgia" w:eastAsiaTheme="minorHAnsi" w:hAnsi="Georgia" w:cstheme="minorBidi"/>
            </w:rPr>
          </w:pPr>
          <w:r>
            <w:rPr>
              <w:rFonts w:ascii="Georgia" w:eastAsiaTheme="minorHAnsi" w:hAnsi="Georgia" w:cstheme="minorBidi"/>
            </w:rPr>
            <w:t>05/02/2024</w:t>
          </w:r>
        </w:p>
      </w:tc>
      <w:tc>
        <w:tcPr>
          <w:tcW w:w="3119" w:type="dxa"/>
        </w:tcPr>
        <w:p w14:paraId="559E8402" w14:textId="4324F114" w:rsidR="00017F74" w:rsidRPr="00383057" w:rsidRDefault="00A169BF" w:rsidP="00D755F0">
          <w:pPr>
            <w:rPr>
              <w:rFonts w:ascii="Georgia" w:eastAsiaTheme="minorHAnsi" w:hAnsi="Georgia" w:cstheme="minorBidi"/>
            </w:rPr>
          </w:pPr>
          <w:r>
            <w:rPr>
              <w:rFonts w:ascii="Georgia" w:eastAsiaTheme="minorHAnsi" w:hAnsi="Georgia" w:cstheme="minorBidi"/>
            </w:rPr>
            <w:t>05/02/2026</w:t>
          </w:r>
        </w:p>
      </w:tc>
    </w:tr>
    <w:tr w:rsidR="00500DCD" w:rsidRPr="00004886" w14:paraId="53F92C57" w14:textId="77777777" w:rsidTr="00500DCD">
      <w:trPr>
        <w:trHeight w:val="432"/>
      </w:trPr>
      <w:tc>
        <w:tcPr>
          <w:tcW w:w="9350" w:type="dxa"/>
          <w:gridSpan w:val="3"/>
          <w:shd w:val="clear" w:color="auto" w:fill="D9D9D9" w:themeFill="background1" w:themeFillShade="D9"/>
          <w:vAlign w:val="center"/>
        </w:tcPr>
        <w:p w14:paraId="22AFF93C" w14:textId="77777777" w:rsidR="00500DCD" w:rsidRPr="0091763A" w:rsidRDefault="00500DCD" w:rsidP="00500DCD">
          <w:pPr>
            <w:rPr>
              <w:rFonts w:ascii="Avenir" w:eastAsiaTheme="minorHAnsi" w:hAnsi="Avenir" w:cstheme="minorBidi"/>
              <w:b/>
            </w:rPr>
          </w:pPr>
          <w:r>
            <w:rPr>
              <w:rFonts w:ascii="Avenir" w:eastAsiaTheme="minorHAnsi" w:hAnsi="Avenir" w:cstheme="minorBidi"/>
              <w:b/>
            </w:rPr>
            <w:t xml:space="preserve">Author &amp; </w:t>
          </w:r>
          <w:r w:rsidRPr="0091763A">
            <w:rPr>
              <w:rFonts w:ascii="Avenir" w:eastAsiaTheme="minorHAnsi" w:hAnsi="Avenir" w:cstheme="minorBidi"/>
              <w:b/>
            </w:rPr>
            <w:t>Approver Title</w:t>
          </w:r>
        </w:p>
      </w:tc>
    </w:tr>
    <w:tr w:rsidR="00500DCD" w:rsidRPr="00004886" w14:paraId="0636C8FB" w14:textId="77777777" w:rsidTr="00500DCD">
      <w:trPr>
        <w:trHeight w:val="576"/>
      </w:trPr>
      <w:tc>
        <w:tcPr>
          <w:tcW w:w="9350" w:type="dxa"/>
          <w:gridSpan w:val="3"/>
          <w:vAlign w:val="center"/>
        </w:tcPr>
        <w:p w14:paraId="1926F2A1" w14:textId="77777777" w:rsidR="00500DCD" w:rsidRPr="00383057" w:rsidRDefault="00500DCD" w:rsidP="00500DCD">
          <w:pPr>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01C6DCBD" w14:textId="77777777" w:rsidTr="00500DCD">
      <w:tc>
        <w:tcPr>
          <w:tcW w:w="9350" w:type="dxa"/>
          <w:gridSpan w:val="3"/>
          <w:shd w:val="clear" w:color="auto" w:fill="D9D9D9" w:themeFill="background1" w:themeFillShade="D9"/>
          <w:tcMar>
            <w:top w:w="115" w:type="dxa"/>
            <w:left w:w="115" w:type="dxa"/>
            <w:bottom w:w="115" w:type="dxa"/>
            <w:right w:w="115" w:type="dxa"/>
          </w:tcMar>
        </w:tcPr>
        <w:p w14:paraId="7EC90B63" w14:textId="77777777" w:rsidR="00017F74" w:rsidRPr="0091763A" w:rsidRDefault="00017F74" w:rsidP="00D755F0">
          <w:pPr>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A2F7198" w14:textId="77777777" w:rsidTr="00500DCD">
      <w:tc>
        <w:tcPr>
          <w:tcW w:w="9350" w:type="dxa"/>
          <w:gridSpan w:val="3"/>
          <w:shd w:val="clear" w:color="auto" w:fill="auto"/>
          <w:tcMar>
            <w:top w:w="115" w:type="dxa"/>
            <w:left w:w="115" w:type="dxa"/>
            <w:bottom w:w="115" w:type="dxa"/>
            <w:right w:w="115" w:type="dxa"/>
          </w:tcMar>
        </w:tcPr>
        <w:p w14:paraId="450EF73B" w14:textId="77777777" w:rsidR="00017F74" w:rsidRPr="00383057" w:rsidRDefault="00017F74" w:rsidP="00D755F0">
          <w:pPr>
            <w:rPr>
              <w:rFonts w:ascii="Georgia" w:eastAsiaTheme="minorHAnsi" w:hAnsi="Georgia" w:cstheme="minorBidi"/>
            </w:rPr>
          </w:pPr>
        </w:p>
      </w:tc>
    </w:tr>
  </w:tbl>
  <w:p w14:paraId="3925B8EC"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76E40" w14:textId="77777777" w:rsidR="00500DCD" w:rsidRDefault="00500DCD" w:rsidP="00004886">
    <w:pPr>
      <w:pStyle w:val="Header"/>
      <w:ind w:left="-720"/>
    </w:pPr>
    <w:r>
      <w:t xml:space="preserve"> </w:t>
    </w:r>
  </w:p>
  <w:p w14:paraId="06ED8A29" w14:textId="77777777" w:rsidR="00500DCD" w:rsidRDefault="00500DCD"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153E"/>
    <w:multiLevelType w:val="hybridMultilevel"/>
    <w:tmpl w:val="7748A402"/>
    <w:lvl w:ilvl="0" w:tplc="7E66AFBC">
      <w:start w:val="1"/>
      <w:numFmt w:val="decimal"/>
      <w:lvlText w:val="%1."/>
      <w:lvlJc w:val="left"/>
      <w:pPr>
        <w:tabs>
          <w:tab w:val="num" w:pos="720"/>
        </w:tabs>
        <w:ind w:left="720" w:hanging="360"/>
      </w:pPr>
      <w:rPr>
        <w:rFonts w:hint="default"/>
      </w:rPr>
    </w:lvl>
    <w:lvl w:ilvl="1" w:tplc="7422C844">
      <w:start w:val="1"/>
      <w:numFmt w:val="upperLetter"/>
      <w:lvlText w:val="%2."/>
      <w:lvlJc w:val="left"/>
      <w:pPr>
        <w:tabs>
          <w:tab w:val="num" w:pos="1515"/>
        </w:tabs>
        <w:ind w:left="1515" w:hanging="435"/>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6198F"/>
    <w:multiLevelType w:val="hybridMultilevel"/>
    <w:tmpl w:val="8C46EC5C"/>
    <w:lvl w:ilvl="0" w:tplc="9634AD84">
      <w:start w:val="1"/>
      <w:numFmt w:val="decimal"/>
      <w:lvlText w:val="%1."/>
      <w:lvlJc w:val="left"/>
      <w:pPr>
        <w:tabs>
          <w:tab w:val="num" w:pos="432"/>
        </w:tabs>
        <w:ind w:left="432" w:hanging="432"/>
      </w:pPr>
      <w:rPr>
        <w:rFonts w:hint="default"/>
      </w:rPr>
    </w:lvl>
    <w:lvl w:ilvl="1" w:tplc="28AA850E">
      <w:start w:val="1"/>
      <w:numFmt w:val="upperLetter"/>
      <w:lvlText w:val="%2."/>
      <w:lvlJc w:val="left"/>
      <w:pPr>
        <w:tabs>
          <w:tab w:val="num" w:pos="864"/>
        </w:tabs>
        <w:ind w:left="864" w:hanging="432"/>
      </w:pPr>
      <w:rPr>
        <w:rFonts w:hint="default"/>
      </w:rPr>
    </w:lvl>
    <w:lvl w:ilvl="2" w:tplc="EAC05436">
      <w:start w:val="2"/>
      <w:numFmt w:val="decimal"/>
      <w:lvlText w:val="%3."/>
      <w:lvlJc w:val="left"/>
      <w:pPr>
        <w:tabs>
          <w:tab w:val="num" w:pos="864"/>
        </w:tabs>
        <w:ind w:left="864" w:hanging="864"/>
      </w:pPr>
      <w:rPr>
        <w:rFonts w:hint="default"/>
      </w:rPr>
    </w:lvl>
    <w:lvl w:ilvl="3" w:tplc="299E13F4">
      <w:start w:val="1"/>
      <w:numFmt w:val="upperLetter"/>
      <w:lvlText w:val="%4."/>
      <w:lvlJc w:val="left"/>
      <w:pPr>
        <w:tabs>
          <w:tab w:val="num" w:pos="864"/>
        </w:tabs>
        <w:ind w:left="864" w:hanging="432"/>
      </w:pPr>
      <w:rPr>
        <w:rFonts w:hint="default"/>
      </w:rPr>
    </w:lvl>
    <w:lvl w:ilvl="4" w:tplc="E6ACEDE0">
      <w:start w:val="3"/>
      <w:numFmt w:val="decimal"/>
      <w:lvlText w:val="%5."/>
      <w:lvlJc w:val="left"/>
      <w:pPr>
        <w:tabs>
          <w:tab w:val="num" w:pos="432"/>
        </w:tabs>
        <w:ind w:left="432" w:hanging="432"/>
      </w:pPr>
      <w:rPr>
        <w:rFonts w:hint="default"/>
      </w:rPr>
    </w:lvl>
    <w:lvl w:ilvl="5" w:tplc="6AAA8E48">
      <w:start w:val="1"/>
      <w:numFmt w:val="upperLetter"/>
      <w:lvlText w:val="%6."/>
      <w:lvlJc w:val="left"/>
      <w:pPr>
        <w:tabs>
          <w:tab w:val="num" w:pos="864"/>
        </w:tabs>
        <w:ind w:left="864" w:hanging="432"/>
      </w:pPr>
      <w:rPr>
        <w:rFonts w:hint="default"/>
      </w:rPr>
    </w:lvl>
    <w:lvl w:ilvl="6" w:tplc="C6809F8A">
      <w:start w:val="4"/>
      <w:numFmt w:val="decimal"/>
      <w:lvlText w:val="%7."/>
      <w:lvlJc w:val="left"/>
      <w:pPr>
        <w:tabs>
          <w:tab w:val="num" w:pos="432"/>
        </w:tabs>
        <w:ind w:left="432" w:hanging="432"/>
      </w:pPr>
      <w:rPr>
        <w:rFonts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335357"/>
    <w:multiLevelType w:val="hybridMultilevel"/>
    <w:tmpl w:val="647E9D38"/>
    <w:lvl w:ilvl="0" w:tplc="EB98EACC">
      <w:start w:val="1"/>
      <w:numFmt w:val="upperLetter"/>
      <w:lvlText w:val="%1."/>
      <w:lvlJc w:val="left"/>
      <w:pPr>
        <w:tabs>
          <w:tab w:val="num" w:pos="972"/>
        </w:tabs>
        <w:ind w:left="972" w:hanging="432"/>
      </w:pPr>
      <w:rPr>
        <w:rFonts w:hint="default"/>
      </w:rPr>
    </w:lvl>
    <w:lvl w:ilvl="1" w:tplc="F2A2FC28">
      <w:start w:val="1"/>
      <w:numFmt w:val="decimal"/>
      <w:lvlText w:val="%2."/>
      <w:lvlJc w:val="left"/>
      <w:pPr>
        <w:tabs>
          <w:tab w:val="num" w:pos="1890"/>
        </w:tabs>
        <w:ind w:left="1890" w:hanging="360"/>
      </w:pPr>
      <w:rPr>
        <w:rFonts w:hint="default"/>
      </w:rPr>
    </w:lvl>
    <w:lvl w:ilvl="2" w:tplc="0409001B">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 w15:restartNumberingAfterBreak="0">
    <w:nsid w:val="27C150CE"/>
    <w:multiLevelType w:val="hybridMultilevel"/>
    <w:tmpl w:val="7A06C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C083E"/>
    <w:multiLevelType w:val="hybridMultilevel"/>
    <w:tmpl w:val="AC6413E6"/>
    <w:lvl w:ilvl="0" w:tplc="B46056E6">
      <w:start w:val="1"/>
      <w:numFmt w:val="decimal"/>
      <w:lvlText w:val="%1."/>
      <w:lvlJc w:val="left"/>
      <w:pPr>
        <w:tabs>
          <w:tab w:val="num" w:pos="432"/>
        </w:tabs>
        <w:ind w:left="432" w:hanging="432"/>
      </w:pPr>
      <w:rPr>
        <w:rFonts w:ascii="Arial" w:hAnsi="Arial" w:hint="default"/>
        <w:b w:val="0"/>
        <w:i w:val="0"/>
        <w:sz w:val="22"/>
      </w:rPr>
    </w:lvl>
    <w:lvl w:ilvl="1" w:tplc="DC44DAF2">
      <w:start w:val="1"/>
      <w:numFmt w:val="upperLetter"/>
      <w:lvlText w:val="%2."/>
      <w:lvlJc w:val="left"/>
      <w:pPr>
        <w:tabs>
          <w:tab w:val="num" w:pos="864"/>
        </w:tabs>
        <w:ind w:left="864" w:hanging="432"/>
      </w:pPr>
      <w:rPr>
        <w:rFonts w:hint="default"/>
      </w:rPr>
    </w:lvl>
    <w:lvl w:ilvl="2" w:tplc="2E9A11C8">
      <w:start w:val="1"/>
      <w:numFmt w:val="decimal"/>
      <w:lvlText w:val="%3."/>
      <w:lvlJc w:val="left"/>
      <w:pPr>
        <w:tabs>
          <w:tab w:val="num" w:pos="1296"/>
        </w:tabs>
        <w:ind w:left="1296" w:hanging="432"/>
      </w:pPr>
      <w:rPr>
        <w:rFonts w:ascii="Arial" w:hAnsi="Arial" w:hint="default"/>
        <w:b w:val="0"/>
        <w:i w:val="0"/>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F4460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521D7A3A"/>
    <w:multiLevelType w:val="hybridMultilevel"/>
    <w:tmpl w:val="762CF79A"/>
    <w:lvl w:ilvl="0" w:tplc="4864B3BC">
      <w:start w:val="2"/>
      <w:numFmt w:val="decimal"/>
      <w:lvlText w:val="%1."/>
      <w:lvlJc w:val="left"/>
      <w:pPr>
        <w:tabs>
          <w:tab w:val="num" w:pos="360"/>
        </w:tabs>
        <w:ind w:left="360" w:hanging="360"/>
      </w:pPr>
      <w:rPr>
        <w:rFonts w:ascii="Georgia" w:hAnsi="Georgia" w:hint="default"/>
        <w:strike w:val="0"/>
      </w:rPr>
    </w:lvl>
    <w:lvl w:ilvl="1" w:tplc="730C2C9E">
      <w:start w:val="1"/>
      <w:numFmt w:val="upperLetter"/>
      <w:lvlText w:val="%2."/>
      <w:lvlJc w:val="left"/>
      <w:pPr>
        <w:ind w:left="1080" w:hanging="360"/>
      </w:pPr>
      <w:rPr>
        <w:rFonts w:ascii="Georgia" w:hAnsi="Georgia"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1F3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64C80D01"/>
    <w:multiLevelType w:val="hybridMultilevel"/>
    <w:tmpl w:val="2FE826D4"/>
    <w:lvl w:ilvl="0" w:tplc="B28AD6AA">
      <w:start w:val="1"/>
      <w:numFmt w:val="decimal"/>
      <w:lvlText w:val="%1."/>
      <w:lvlJc w:val="left"/>
      <w:pPr>
        <w:tabs>
          <w:tab w:val="num" w:pos="720"/>
        </w:tabs>
        <w:ind w:left="720" w:hanging="360"/>
      </w:pPr>
    </w:lvl>
    <w:lvl w:ilvl="1" w:tplc="04090015">
      <w:start w:val="1"/>
      <w:numFmt w:val="upperLetter"/>
      <w:lvlText w:val="%2."/>
      <w:lvlJc w:val="left"/>
      <w:pPr>
        <w:tabs>
          <w:tab w:val="num" w:pos="1560"/>
        </w:tabs>
        <w:ind w:left="1560"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E200868"/>
    <w:multiLevelType w:val="hybridMultilevel"/>
    <w:tmpl w:val="72BC129C"/>
    <w:lvl w:ilvl="0" w:tplc="7BF8631E">
      <w:start w:val="1"/>
      <w:numFmt w:val="upperLetter"/>
      <w:lvlText w:val="%1."/>
      <w:lvlJc w:val="left"/>
      <w:pPr>
        <w:tabs>
          <w:tab w:val="num" w:pos="864"/>
        </w:tabs>
        <w:ind w:left="864" w:hanging="432"/>
      </w:pPr>
      <w:rPr>
        <w:rFonts w:hint="default"/>
      </w:rPr>
    </w:lvl>
    <w:lvl w:ilvl="1" w:tplc="466AB642">
      <w:start w:val="1"/>
      <w:numFmt w:val="decimal"/>
      <w:lvlText w:val="%2."/>
      <w:lvlJc w:val="left"/>
      <w:pPr>
        <w:tabs>
          <w:tab w:val="num" w:pos="1512"/>
        </w:tabs>
        <w:ind w:left="1512" w:hanging="360"/>
      </w:pPr>
      <w:rPr>
        <w:rFonts w:hint="default"/>
      </w:rPr>
    </w:lvl>
    <w:lvl w:ilvl="2" w:tplc="7BF8631E">
      <w:start w:val="1"/>
      <w:numFmt w:val="upperLetter"/>
      <w:lvlText w:val="%3."/>
      <w:lvlJc w:val="left"/>
      <w:pPr>
        <w:tabs>
          <w:tab w:val="num" w:pos="2484"/>
        </w:tabs>
        <w:ind w:left="2484" w:hanging="432"/>
      </w:pPr>
      <w:rPr>
        <w:rFonts w:hint="default"/>
      </w:rPr>
    </w:lvl>
    <w:lvl w:ilvl="3" w:tplc="0409000F">
      <w:start w:val="1"/>
      <w:numFmt w:val="decimal"/>
      <w:lvlText w:val="%4."/>
      <w:lvlJc w:val="left"/>
      <w:pPr>
        <w:tabs>
          <w:tab w:val="num" w:pos="2952"/>
        </w:tabs>
        <w:ind w:left="2952" w:hanging="360"/>
      </w:pPr>
    </w:lvl>
    <w:lvl w:ilvl="4" w:tplc="04090019">
      <w:start w:val="1"/>
      <w:numFmt w:val="lowerLetter"/>
      <w:lvlText w:val="%5."/>
      <w:lvlJc w:val="left"/>
      <w:pPr>
        <w:tabs>
          <w:tab w:val="num" w:pos="3672"/>
        </w:tabs>
        <w:ind w:left="3672" w:hanging="360"/>
      </w:pPr>
    </w:lvl>
    <w:lvl w:ilvl="5" w:tplc="0409001B">
      <w:start w:val="1"/>
      <w:numFmt w:val="lowerRoman"/>
      <w:lvlText w:val="%6."/>
      <w:lvlJc w:val="right"/>
      <w:pPr>
        <w:tabs>
          <w:tab w:val="num" w:pos="4392"/>
        </w:tabs>
        <w:ind w:left="4392" w:hanging="180"/>
      </w:pPr>
    </w:lvl>
    <w:lvl w:ilvl="6" w:tplc="0409000F">
      <w:start w:val="1"/>
      <w:numFmt w:val="decimal"/>
      <w:lvlText w:val="%7."/>
      <w:lvlJc w:val="left"/>
      <w:pPr>
        <w:tabs>
          <w:tab w:val="num" w:pos="5112"/>
        </w:tabs>
        <w:ind w:left="5112" w:hanging="360"/>
      </w:pPr>
    </w:lvl>
    <w:lvl w:ilvl="7" w:tplc="04090019">
      <w:start w:val="1"/>
      <w:numFmt w:val="lowerLetter"/>
      <w:lvlText w:val="%8."/>
      <w:lvlJc w:val="left"/>
      <w:pPr>
        <w:tabs>
          <w:tab w:val="num" w:pos="5832"/>
        </w:tabs>
        <w:ind w:left="5832" w:hanging="360"/>
      </w:pPr>
    </w:lvl>
    <w:lvl w:ilvl="8" w:tplc="0409001B">
      <w:start w:val="1"/>
      <w:numFmt w:val="lowerRoman"/>
      <w:lvlText w:val="%9."/>
      <w:lvlJc w:val="right"/>
      <w:pPr>
        <w:tabs>
          <w:tab w:val="num" w:pos="6552"/>
        </w:tabs>
        <w:ind w:left="6552" w:hanging="180"/>
      </w:pPr>
    </w:lvl>
  </w:abstractNum>
  <w:abstractNum w:abstractNumId="13" w15:restartNumberingAfterBreak="0">
    <w:nsid w:val="78BA4A80"/>
    <w:multiLevelType w:val="hybridMultilevel"/>
    <w:tmpl w:val="9B569F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4"/>
  </w:num>
  <w:num w:numId="3">
    <w:abstractNumId w:val="6"/>
  </w:num>
  <w:num w:numId="4">
    <w:abstractNumId w:val="9"/>
  </w:num>
  <w:num w:numId="5">
    <w:abstractNumId w:val="12"/>
  </w:num>
  <w:num w:numId="6">
    <w:abstractNumId w:val="0"/>
  </w:num>
  <w:num w:numId="7">
    <w:abstractNumId w:val="5"/>
  </w:num>
  <w:num w:numId="8">
    <w:abstractNumId w:val="11"/>
  </w:num>
  <w:num w:numId="9">
    <w:abstractNumId w:val="3"/>
    <w:lvlOverride w:ilvl="0">
      <w:startOverride w:val="1"/>
    </w:lvlOverride>
  </w:num>
  <w:num w:numId="10">
    <w:abstractNumId w:val="7"/>
  </w:num>
  <w:num w:numId="11">
    <w:abstractNumId w:val="10"/>
  </w:num>
  <w:num w:numId="12">
    <w:abstractNumId w:val="4"/>
  </w:num>
  <w:num w:numId="13">
    <w:abstractNumId w:val="2"/>
  </w:num>
  <w:num w:numId="14">
    <w:abstractNumId w:val="13"/>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7F74"/>
    <w:rsid w:val="00030D7F"/>
    <w:rsid w:val="00070BDF"/>
    <w:rsid w:val="00075223"/>
    <w:rsid w:val="000B2666"/>
    <w:rsid w:val="000E0733"/>
    <w:rsid w:val="000E6515"/>
    <w:rsid w:val="001D12AA"/>
    <w:rsid w:val="001F42C5"/>
    <w:rsid w:val="002174C0"/>
    <w:rsid w:val="00234321"/>
    <w:rsid w:val="00282429"/>
    <w:rsid w:val="002A02A9"/>
    <w:rsid w:val="00366B62"/>
    <w:rsid w:val="00383057"/>
    <w:rsid w:val="00393280"/>
    <w:rsid w:val="003A605C"/>
    <w:rsid w:val="003B1056"/>
    <w:rsid w:val="004039FB"/>
    <w:rsid w:val="004463F9"/>
    <w:rsid w:val="00496194"/>
    <w:rsid w:val="004B00A2"/>
    <w:rsid w:val="004D3EC8"/>
    <w:rsid w:val="004D66B8"/>
    <w:rsid w:val="004F7E1E"/>
    <w:rsid w:val="00500DCD"/>
    <w:rsid w:val="00546D27"/>
    <w:rsid w:val="00551083"/>
    <w:rsid w:val="005F4D1B"/>
    <w:rsid w:val="006318B2"/>
    <w:rsid w:val="00636251"/>
    <w:rsid w:val="0064513A"/>
    <w:rsid w:val="00662BCA"/>
    <w:rsid w:val="006772EC"/>
    <w:rsid w:val="006C0ECD"/>
    <w:rsid w:val="00711EA3"/>
    <w:rsid w:val="00717C5F"/>
    <w:rsid w:val="00721119"/>
    <w:rsid w:val="00744C01"/>
    <w:rsid w:val="007635EF"/>
    <w:rsid w:val="007669B2"/>
    <w:rsid w:val="007D240F"/>
    <w:rsid w:val="00806F6F"/>
    <w:rsid w:val="00845993"/>
    <w:rsid w:val="00854EBF"/>
    <w:rsid w:val="00856286"/>
    <w:rsid w:val="00857EA6"/>
    <w:rsid w:val="008C5F31"/>
    <w:rsid w:val="008E51E0"/>
    <w:rsid w:val="008F49D4"/>
    <w:rsid w:val="00914055"/>
    <w:rsid w:val="0091763A"/>
    <w:rsid w:val="009342A6"/>
    <w:rsid w:val="00976B3C"/>
    <w:rsid w:val="00986862"/>
    <w:rsid w:val="009C4785"/>
    <w:rsid w:val="009F3EE2"/>
    <w:rsid w:val="00A169BF"/>
    <w:rsid w:val="00A458AC"/>
    <w:rsid w:val="00AA7F0B"/>
    <w:rsid w:val="00AC317F"/>
    <w:rsid w:val="00AF7CAE"/>
    <w:rsid w:val="00B23E02"/>
    <w:rsid w:val="00B520D1"/>
    <w:rsid w:val="00BA51C0"/>
    <w:rsid w:val="00BB63F2"/>
    <w:rsid w:val="00BE2960"/>
    <w:rsid w:val="00C1303A"/>
    <w:rsid w:val="00C70850"/>
    <w:rsid w:val="00CE6DA2"/>
    <w:rsid w:val="00D656C1"/>
    <w:rsid w:val="00D67953"/>
    <w:rsid w:val="00D927EC"/>
    <w:rsid w:val="00DC57CA"/>
    <w:rsid w:val="00DD17C5"/>
    <w:rsid w:val="00DD4B6F"/>
    <w:rsid w:val="00DE38FB"/>
    <w:rsid w:val="00E2345C"/>
    <w:rsid w:val="00E547EA"/>
    <w:rsid w:val="00E810E1"/>
    <w:rsid w:val="00E82402"/>
    <w:rsid w:val="00F107CD"/>
    <w:rsid w:val="00F53FEA"/>
    <w:rsid w:val="00F74405"/>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4D520C"/>
  <w15:docId w15:val="{9B2956CE-B7AE-48C4-B637-86816F1B8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rPr>
      <w:sz w:val="22"/>
      <w:szCs w:val="22"/>
    </w:rPr>
  </w:style>
  <w:style w:type="paragraph" w:styleId="Heading1">
    <w:name w:val="heading 1"/>
    <w:basedOn w:val="Normal"/>
    <w:next w:val="Normal"/>
    <w:link w:val="Heading1Char"/>
    <w:uiPriority w:val="9"/>
    <w:qFormat/>
    <w:rsid w:val="00BE296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E296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Heading1"/>
    <w:link w:val="Heading3Char"/>
    <w:qFormat/>
    <w:rsid w:val="00BE2960"/>
    <w:pPr>
      <w:keepLines w:val="0"/>
      <w:spacing w:before="0"/>
      <w:outlineLvl w:val="2"/>
    </w:pPr>
    <w:rPr>
      <w:rFonts w:ascii="Times New Roman" w:eastAsia="PMingLiU" w:hAnsi="Times New Roman" w:cs="Times New Roman"/>
      <w:caps/>
      <w:color w:val="auto"/>
    </w:rPr>
  </w:style>
  <w:style w:type="paragraph" w:styleId="Heading4">
    <w:name w:val="heading 4"/>
    <w:basedOn w:val="Normal"/>
    <w:next w:val="Normal"/>
    <w:link w:val="Heading4Char"/>
    <w:qFormat/>
    <w:rsid w:val="00BE2960"/>
    <w:pPr>
      <w:keepNext/>
      <w:outlineLvl w:val="3"/>
    </w:pPr>
    <w:rPr>
      <w:rFonts w:ascii="Times New Roman" w:eastAsia="PMingLiU"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3Char">
    <w:name w:val="Heading 3 Char"/>
    <w:basedOn w:val="DefaultParagraphFont"/>
    <w:link w:val="Heading3"/>
    <w:rsid w:val="00BE2960"/>
    <w:rPr>
      <w:rFonts w:ascii="Times New Roman" w:eastAsia="PMingLiU" w:hAnsi="Times New Roman"/>
      <w:b/>
      <w:bCs/>
      <w:caps/>
      <w:sz w:val="28"/>
      <w:szCs w:val="28"/>
    </w:rPr>
  </w:style>
  <w:style w:type="character" w:customStyle="1" w:styleId="Heading4Char">
    <w:name w:val="Heading 4 Char"/>
    <w:basedOn w:val="DefaultParagraphFont"/>
    <w:link w:val="Heading4"/>
    <w:rsid w:val="00BE2960"/>
    <w:rPr>
      <w:rFonts w:ascii="Times New Roman" w:eastAsia="PMingLiU" w:hAnsi="Times New Roman"/>
      <w:b/>
      <w:bCs/>
      <w:i/>
      <w:iCs/>
      <w:sz w:val="24"/>
      <w:szCs w:val="24"/>
    </w:rPr>
  </w:style>
  <w:style w:type="paragraph" w:styleId="BodyTextIndent">
    <w:name w:val="Body Text Indent"/>
    <w:basedOn w:val="Normal"/>
    <w:link w:val="BodyTextIndentChar"/>
    <w:semiHidden/>
    <w:rsid w:val="00BE2960"/>
    <w:pPr>
      <w:ind w:left="432" w:hanging="432"/>
    </w:pPr>
    <w:rPr>
      <w:rFonts w:ascii="Arial" w:eastAsia="PMingLiU" w:hAnsi="Arial" w:cs="Arial"/>
    </w:rPr>
  </w:style>
  <w:style w:type="character" w:customStyle="1" w:styleId="BodyTextIndentChar">
    <w:name w:val="Body Text Indent Char"/>
    <w:basedOn w:val="DefaultParagraphFont"/>
    <w:link w:val="BodyTextIndent"/>
    <w:semiHidden/>
    <w:rsid w:val="00BE2960"/>
    <w:rPr>
      <w:rFonts w:ascii="Arial" w:eastAsia="PMingLiU" w:hAnsi="Arial" w:cs="Arial"/>
      <w:sz w:val="22"/>
      <w:szCs w:val="22"/>
    </w:rPr>
  </w:style>
  <w:style w:type="character" w:customStyle="1" w:styleId="Heading1Char">
    <w:name w:val="Heading 1 Char"/>
    <w:basedOn w:val="DefaultParagraphFont"/>
    <w:link w:val="Heading1"/>
    <w:uiPriority w:val="9"/>
    <w:rsid w:val="00BE29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E2960"/>
    <w:rPr>
      <w:rFonts w:asciiTheme="majorHAnsi" w:eastAsiaTheme="majorEastAsia" w:hAnsiTheme="majorHAnsi" w:cstheme="majorBidi"/>
      <w:b/>
      <w:bCs/>
      <w:color w:val="4F81BD" w:themeColor="accent1"/>
      <w:sz w:val="26"/>
      <w:szCs w:val="26"/>
    </w:rPr>
  </w:style>
  <w:style w:type="paragraph" w:styleId="BodyTextIndent2">
    <w:name w:val="Body Text Indent 2"/>
    <w:basedOn w:val="Normal"/>
    <w:link w:val="BodyTextIndent2Char"/>
    <w:uiPriority w:val="99"/>
    <w:semiHidden/>
    <w:unhideWhenUsed/>
    <w:rsid w:val="00BE2960"/>
    <w:pPr>
      <w:spacing w:after="120" w:line="480" w:lineRule="auto"/>
      <w:ind w:left="360"/>
    </w:pPr>
  </w:style>
  <w:style w:type="character" w:customStyle="1" w:styleId="BodyTextIndent2Char">
    <w:name w:val="Body Text Indent 2 Char"/>
    <w:basedOn w:val="DefaultParagraphFont"/>
    <w:link w:val="BodyTextIndent2"/>
    <w:uiPriority w:val="99"/>
    <w:semiHidden/>
    <w:rsid w:val="00BE2960"/>
    <w:rPr>
      <w:sz w:val="22"/>
      <w:szCs w:val="22"/>
    </w:rPr>
  </w:style>
  <w:style w:type="character" w:styleId="Hyperlink">
    <w:name w:val="Hyperlink"/>
    <w:semiHidden/>
    <w:rsid w:val="007669B2"/>
    <w:rPr>
      <w:color w:val="0000FF"/>
      <w:u w:val="single"/>
    </w:rPr>
  </w:style>
  <w:style w:type="character" w:styleId="CommentReference">
    <w:name w:val="annotation reference"/>
    <w:basedOn w:val="DefaultParagraphFont"/>
    <w:uiPriority w:val="99"/>
    <w:semiHidden/>
    <w:unhideWhenUsed/>
    <w:rsid w:val="00030D7F"/>
    <w:rPr>
      <w:sz w:val="16"/>
      <w:szCs w:val="16"/>
    </w:rPr>
  </w:style>
  <w:style w:type="paragraph" w:styleId="CommentText">
    <w:name w:val="annotation text"/>
    <w:basedOn w:val="Normal"/>
    <w:link w:val="CommentTextChar"/>
    <w:uiPriority w:val="99"/>
    <w:semiHidden/>
    <w:unhideWhenUsed/>
    <w:rsid w:val="00030D7F"/>
    <w:rPr>
      <w:sz w:val="20"/>
      <w:szCs w:val="20"/>
    </w:rPr>
  </w:style>
  <w:style w:type="character" w:customStyle="1" w:styleId="CommentTextChar">
    <w:name w:val="Comment Text Char"/>
    <w:basedOn w:val="DefaultParagraphFont"/>
    <w:link w:val="CommentText"/>
    <w:uiPriority w:val="99"/>
    <w:semiHidden/>
    <w:rsid w:val="00030D7F"/>
  </w:style>
  <w:style w:type="paragraph" w:styleId="CommentSubject">
    <w:name w:val="annotation subject"/>
    <w:basedOn w:val="CommentText"/>
    <w:next w:val="CommentText"/>
    <w:link w:val="CommentSubjectChar"/>
    <w:uiPriority w:val="99"/>
    <w:semiHidden/>
    <w:unhideWhenUsed/>
    <w:rsid w:val="00030D7F"/>
    <w:rPr>
      <w:b/>
      <w:bCs/>
    </w:rPr>
  </w:style>
  <w:style w:type="character" w:customStyle="1" w:styleId="CommentSubjectChar">
    <w:name w:val="Comment Subject Char"/>
    <w:basedOn w:val="CommentTextChar"/>
    <w:link w:val="CommentSubject"/>
    <w:uiPriority w:val="99"/>
    <w:semiHidden/>
    <w:rsid w:val="00030D7F"/>
    <w:rPr>
      <w:b/>
      <w:bCs/>
    </w:rPr>
  </w:style>
  <w:style w:type="paragraph" w:styleId="Revision">
    <w:name w:val="Revision"/>
    <w:hidden/>
    <w:uiPriority w:val="99"/>
    <w:semiHidden/>
    <w:rsid w:val="00030D7F"/>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6E381-1905-41E2-B741-6662276C2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1668</Words>
  <Characters>9509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11155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5</cp:revision>
  <dcterms:created xsi:type="dcterms:W3CDTF">2024-04-30T13:15:00Z</dcterms:created>
  <dcterms:modified xsi:type="dcterms:W3CDTF">2024-06-04T13:57:00Z</dcterms:modified>
</cp:coreProperties>
</file>